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12511">
        <w:rPr>
          <w:rFonts w:asciiTheme="minorHAnsi" w:hAnsiTheme="minorHAnsi" w:cstheme="minorHAnsi"/>
          <w:b/>
          <w:sz w:val="36"/>
          <w:szCs w:val="36"/>
        </w:rPr>
        <w:t>Obchodní podmínky</w:t>
      </w:r>
    </w:p>
    <w:p w14:paraId="5664400F" w14:textId="77777777" w:rsidR="007B2335" w:rsidRPr="00712511" w:rsidRDefault="007B2335" w:rsidP="00B61745">
      <w:pPr>
        <w:pStyle w:val="Podnadpis"/>
        <w:rPr>
          <w:rFonts w:asciiTheme="minorHAnsi" w:hAnsiTheme="minorHAnsi" w:cstheme="minorHAnsi"/>
          <w:b w:val="0"/>
          <w:sz w:val="36"/>
          <w:szCs w:val="36"/>
        </w:rPr>
      </w:pPr>
    </w:p>
    <w:p w14:paraId="73D55CDC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712511">
        <w:rPr>
          <w:rFonts w:asciiTheme="minorHAnsi" w:hAnsiTheme="minorHAnsi" w:cstheme="minorHAnsi"/>
          <w:b/>
          <w:color w:val="000000"/>
          <w:sz w:val="32"/>
          <w:szCs w:val="32"/>
        </w:rPr>
        <w:t>Návrh Smlouvy o dílo</w:t>
      </w:r>
    </w:p>
    <w:p w14:paraId="73D55CDD" w14:textId="77777777" w:rsidR="00FF6A54" w:rsidRPr="00484CF9" w:rsidRDefault="00FF6A54" w:rsidP="00FF6A54">
      <w:pPr>
        <w:pStyle w:val="Nadpis2"/>
        <w:ind w:left="180"/>
        <w:jc w:val="center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484CF9">
        <w:rPr>
          <w:rFonts w:asciiTheme="minorHAnsi" w:hAnsiTheme="minorHAnsi" w:cstheme="minorHAnsi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73D55CDE" w14:textId="77777777" w:rsidR="00FF6A54" w:rsidRPr="00484CF9" w:rsidRDefault="00FF6A54" w:rsidP="00235703">
      <w:pPr>
        <w:keepNext/>
        <w:spacing w:before="240" w:after="12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>Článek I - Smluvní strany</w:t>
      </w:r>
    </w:p>
    <w:p w14:paraId="73D55CDF" w14:textId="77777777" w:rsidR="00FF6A54" w:rsidRPr="00484CF9" w:rsidRDefault="00FF6A54" w:rsidP="00FF6A54">
      <w:pPr>
        <w:ind w:left="1440" w:firstLine="720"/>
        <w:rPr>
          <w:rFonts w:asciiTheme="minorHAnsi" w:hAnsiTheme="minorHAnsi" w:cstheme="minorHAnsi"/>
          <w:b/>
          <w:sz w:val="20"/>
          <w:szCs w:val="20"/>
        </w:rPr>
      </w:pPr>
    </w:p>
    <w:p w14:paraId="73D55CE0" w14:textId="5A5716F5" w:rsidR="00FF6A54" w:rsidRPr="003912CD" w:rsidRDefault="00FF6A54" w:rsidP="00FF6A54">
      <w:pPr>
        <w:spacing w:after="60"/>
        <w:jc w:val="both"/>
        <w:rPr>
          <w:rFonts w:ascii="Calibri" w:hAnsi="Calibri" w:cs="Calibr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1.   </w:t>
      </w:r>
      <w:r w:rsidR="003912CD">
        <w:rPr>
          <w:rFonts w:ascii="Calibri" w:hAnsi="Calibri" w:cs="Calibri"/>
          <w:b/>
          <w:sz w:val="20"/>
          <w:szCs w:val="20"/>
        </w:rPr>
        <w:t>Město Odry</w:t>
      </w:r>
    </w:p>
    <w:p w14:paraId="03F2B429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Se sídlem: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Zastoupena: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Právní forma: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801 - Obec </w:t>
      </w:r>
    </w:p>
    <w:p w14:paraId="33EBB00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IČ:</w:t>
      </w:r>
      <w:r w:rsidRPr="00195BD3">
        <w:rPr>
          <w:rFonts w:asciiTheme="minorHAnsi" w:hAnsiTheme="minorHAnsi" w:cstheme="minorHAnsi"/>
          <w:sz w:val="20"/>
          <w:szCs w:val="20"/>
        </w:rPr>
        <w:tab/>
        <w:t>00298221</w:t>
      </w:r>
    </w:p>
    <w:p w14:paraId="73CCFC3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DIČ: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CZ00298221 </w:t>
      </w:r>
    </w:p>
    <w:p w14:paraId="19F4DDF7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 xml:space="preserve">Bankovní spojení: </w:t>
      </w:r>
      <w:r w:rsidRPr="00195BD3">
        <w:rPr>
          <w:rFonts w:asciiTheme="minorHAnsi" w:hAnsiTheme="minorHAnsi" w:cstheme="minorHAnsi"/>
          <w:sz w:val="20"/>
        </w:rPr>
        <w:tab/>
        <w:t>Česká spořitelna a.s.</w:t>
      </w:r>
      <w:r w:rsidRPr="00195BD3">
        <w:rPr>
          <w:rFonts w:asciiTheme="minorHAnsi" w:hAnsiTheme="minorHAnsi" w:cstheme="minorHAnsi"/>
          <w:sz w:val="20"/>
        </w:rPr>
        <w:tab/>
      </w:r>
    </w:p>
    <w:p w14:paraId="61F41CAD" w14:textId="77777777" w:rsidR="00195BD3" w:rsidRPr="00195BD3" w:rsidRDefault="00195BD3" w:rsidP="00195BD3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ab/>
        <w:t xml:space="preserve">Číslo účtu: </w:t>
      </w:r>
      <w:r w:rsidRPr="00195BD3">
        <w:rPr>
          <w:rFonts w:asciiTheme="minorHAnsi" w:hAnsiTheme="minorHAnsi" w:cstheme="minorHAnsi"/>
          <w:sz w:val="20"/>
        </w:rPr>
        <w:tab/>
      </w:r>
      <w:r w:rsidRPr="00195BD3">
        <w:rPr>
          <w:rFonts w:asciiTheme="minorHAnsi" w:hAnsiTheme="minorHAnsi" w:cstheme="minorHAnsi"/>
          <w:sz w:val="20"/>
        </w:rPr>
        <w:tab/>
        <w:t xml:space="preserve">   27-1765068319/0800 </w:t>
      </w:r>
    </w:p>
    <w:p w14:paraId="73D55CE7" w14:textId="781608DB" w:rsidR="00FF6A54" w:rsidRPr="00484CF9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Osoba oprávněná jednat ve věcech technických </w:t>
      </w:r>
      <w:r w:rsidRPr="00C5078F">
        <w:rPr>
          <w:rFonts w:asciiTheme="minorHAnsi" w:hAnsiTheme="minorHAnsi" w:cstheme="minorHAnsi"/>
          <w:sz w:val="20"/>
        </w:rPr>
        <w:t>a realizace díla:</w:t>
      </w:r>
      <w:r w:rsidR="000204F6" w:rsidRPr="00C5078F">
        <w:rPr>
          <w:rFonts w:asciiTheme="minorHAnsi" w:hAnsiTheme="minorHAnsi" w:cstheme="minorHAnsi"/>
          <w:sz w:val="20"/>
        </w:rPr>
        <w:t xml:space="preserve"> Ing. Olga Veverková, vedoucí Odboru správy nemovitého majetku, tel.: 556 768 120, email: olga.veverkova@odry.cz</w:t>
      </w:r>
    </w:p>
    <w:p w14:paraId="73D55CE9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Theme="minorHAnsi" w:hAnsiTheme="minorHAnsi" w:cstheme="minorHAnsi"/>
          <w:sz w:val="20"/>
          <w:szCs w:val="20"/>
        </w:rPr>
      </w:pPr>
    </w:p>
    <w:p w14:paraId="73D55CEA" w14:textId="77777777" w:rsidR="00A24E42" w:rsidRPr="00484CF9" w:rsidRDefault="00FF6A54" w:rsidP="00FF6A54">
      <w:p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>(dále jen: „objednatel“)</w:t>
      </w:r>
    </w:p>
    <w:p w14:paraId="73D55CEB" w14:textId="77777777" w:rsidR="00FF6A54" w:rsidRPr="00484CF9" w:rsidRDefault="00FF6A54" w:rsidP="0029642A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i/>
          <w:iCs/>
          <w:color w:val="FF0000"/>
        </w:rPr>
      </w:pPr>
    </w:p>
    <w:p w14:paraId="73D55CEC" w14:textId="77777777" w:rsidR="00FF6A54" w:rsidRPr="00484CF9" w:rsidRDefault="00FF6A54" w:rsidP="00FF6A54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2.   </w:t>
      </w:r>
      <w:r w:rsidRPr="00484CF9">
        <w:rPr>
          <w:rFonts w:asciiTheme="minorHAnsi" w:hAnsiTheme="minorHAnsi" w:cstheme="minorHAnsi"/>
          <w:b/>
          <w:sz w:val="20"/>
          <w:szCs w:val="20"/>
          <w:highlight w:val="yellow"/>
        </w:rPr>
        <w:t>Obchodní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484CF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firma – </w:t>
      </w:r>
      <w:r w:rsidRPr="00484CF9">
        <w:rPr>
          <w:rFonts w:asciiTheme="minorHAnsi" w:hAnsiTheme="minorHAnsi" w:cstheme="minorHAnsi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484CF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sz w:val="20"/>
          <w:szCs w:val="20"/>
        </w:rPr>
        <w:t>(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3E6BA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="00795636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Se sídle</w:t>
      </w:r>
      <w:r w:rsidRPr="000A4468">
        <w:rPr>
          <w:rFonts w:asciiTheme="minorHAnsi" w:hAnsiTheme="minorHAnsi" w:cstheme="minorHAnsi"/>
          <w:sz w:val="20"/>
          <w:szCs w:val="20"/>
          <w:highlight w:val="yellow"/>
        </w:rPr>
        <w:t>m:</w:t>
      </w:r>
      <w:r w:rsidRPr="00484CF9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Zastoupena:</w:t>
      </w:r>
    </w:p>
    <w:p w14:paraId="73D55CEF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IČ:</w:t>
      </w:r>
    </w:p>
    <w:p w14:paraId="73D55CF0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DIČ:</w:t>
      </w:r>
    </w:p>
    <w:p w14:paraId="73D55CF1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Bankovní spojení:</w:t>
      </w:r>
    </w:p>
    <w:p w14:paraId="73D55CF2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</w:p>
    <w:p w14:paraId="73D55CF3" w14:textId="384F1FA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1F262745" w:rsidR="00FF6A54" w:rsidRPr="00484CF9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Osoba oprávněná jednat ve věcech technických a realizace díla:</w:t>
      </w:r>
      <w:r w:rsidR="007C724C" w:rsidRPr="007C724C">
        <w:rPr>
          <w:rFonts w:ascii="Calibri" w:hAnsi="Calibri" w:cs="Calibri"/>
          <w:i/>
          <w:iCs/>
          <w:color w:val="0000FF"/>
          <w:sz w:val="20"/>
          <w:szCs w:val="20"/>
        </w:rPr>
        <w:t xml:space="preserve"> 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(doplní dodavatel na základě údajů korespondujících s částí nabídky, kterou prokazuje splnění požadavku na technickou kvalifikaci v čl. </w:t>
      </w:r>
      <w:r w:rsidR="00A81EF2">
        <w:rPr>
          <w:rFonts w:ascii="Calibri" w:hAnsi="Calibri" w:cs="Calibri"/>
          <w:i/>
          <w:iCs/>
          <w:color w:val="0000FF"/>
          <w:sz w:val="20"/>
          <w:szCs w:val="20"/>
        </w:rPr>
        <w:t>4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.</w:t>
      </w:r>
      <w:r w:rsidR="001C6635">
        <w:rPr>
          <w:rFonts w:ascii="Calibri" w:hAnsi="Calibri" w:cs="Calibri"/>
          <w:i/>
          <w:iCs/>
          <w:color w:val="0000FF"/>
          <w:sz w:val="20"/>
          <w:szCs w:val="20"/>
        </w:rPr>
        <w:t>3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 písm. b) </w:t>
      </w:r>
      <w:r w:rsidR="00C92D64">
        <w:rPr>
          <w:rFonts w:ascii="Calibri" w:hAnsi="Calibri" w:cs="Calibri"/>
          <w:i/>
          <w:iCs/>
          <w:color w:val="0000FF"/>
          <w:sz w:val="20"/>
          <w:szCs w:val="20"/>
        </w:rPr>
        <w:t>výzvy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)</w:t>
      </w:r>
    </w:p>
    <w:p w14:paraId="3EC8189E" w14:textId="26ABB094" w:rsidR="00C92D64" w:rsidRPr="007827E4" w:rsidRDefault="00644C82" w:rsidP="00C92D64">
      <w:pPr>
        <w:tabs>
          <w:tab w:val="left" w:pos="360"/>
          <w:tab w:val="left" w:pos="2268"/>
        </w:tabs>
        <w:ind w:left="357"/>
        <w:rPr>
          <w:rFonts w:ascii="Calibri" w:hAnsi="Calibri" w:cs="Calibri"/>
          <w:sz w:val="20"/>
          <w:szCs w:val="20"/>
          <w:highlight w:val="yellow"/>
        </w:rPr>
      </w:pPr>
      <w:r>
        <w:rPr>
          <w:rFonts w:ascii="Calibri" w:hAnsi="Calibri" w:cs="Calibri"/>
          <w:sz w:val="20"/>
          <w:szCs w:val="20"/>
          <w:highlight w:val="yellow"/>
        </w:rPr>
        <w:t xml:space="preserve">Vedoucí </w:t>
      </w:r>
      <w:r w:rsidR="00C92D64">
        <w:rPr>
          <w:rFonts w:ascii="Calibri" w:hAnsi="Calibri" w:cs="Calibri"/>
          <w:sz w:val="20"/>
          <w:szCs w:val="20"/>
          <w:highlight w:val="yellow"/>
        </w:rPr>
        <w:t>projektant</w:t>
      </w:r>
      <w:r w:rsidR="00C92D64" w:rsidRPr="007827E4">
        <w:rPr>
          <w:rFonts w:ascii="Calibri" w:hAnsi="Calibri" w:cs="Calibri"/>
          <w:sz w:val="20"/>
          <w:szCs w:val="20"/>
          <w:highlight w:val="yellow"/>
        </w:rPr>
        <w:t>: ………………………………………. tel. …………………..</w:t>
      </w:r>
    </w:p>
    <w:p w14:paraId="73D55CF6" w14:textId="77777777" w:rsidR="00FF6A54" w:rsidRPr="00484CF9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73D55CF7" w14:textId="43CDC7A1" w:rsidR="00A24E42" w:rsidRPr="00484CF9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„zhotovitel“)</w:t>
      </w:r>
    </w:p>
    <w:p w14:paraId="73D55CF8" w14:textId="77777777" w:rsidR="00A24E42" w:rsidRPr="00484CF9" w:rsidRDefault="001D085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 - </w:t>
      </w:r>
      <w:r w:rsidR="00A24E42" w:rsidRPr="00484CF9">
        <w:rPr>
          <w:rFonts w:asciiTheme="minorHAnsi" w:hAnsiTheme="minorHAnsi" w:cstheme="minorHAnsi"/>
          <w:sz w:val="20"/>
        </w:rPr>
        <w:t>Základní ustanovení</w:t>
      </w:r>
    </w:p>
    <w:p w14:paraId="73D55CF9" w14:textId="3016C0A9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Tato smlouva na realizaci veřejné zakázky s názvem: „</w:t>
      </w:r>
      <w:r w:rsidR="001C6635" w:rsidRPr="001C6635">
        <w:rPr>
          <w:rFonts w:asciiTheme="minorHAnsi" w:hAnsiTheme="minorHAnsi" w:cstheme="minorHAnsi"/>
          <w:bCs/>
          <w:sz w:val="20"/>
        </w:rPr>
        <w:t xml:space="preserve">Projektová </w:t>
      </w:r>
      <w:r w:rsidR="00712511">
        <w:rPr>
          <w:rFonts w:asciiTheme="minorHAnsi" w:hAnsiTheme="minorHAnsi" w:cstheme="minorHAnsi"/>
          <w:bCs/>
          <w:sz w:val="20"/>
        </w:rPr>
        <w:t>dokumentace</w:t>
      </w:r>
      <w:r w:rsidR="00725F2D">
        <w:rPr>
          <w:rFonts w:asciiTheme="minorHAnsi" w:hAnsiTheme="minorHAnsi" w:cstheme="minorHAnsi"/>
          <w:bCs/>
          <w:sz w:val="20"/>
        </w:rPr>
        <w:t xml:space="preserve"> stavby: </w:t>
      </w:r>
      <w:r w:rsidR="00712511">
        <w:rPr>
          <w:rFonts w:asciiTheme="minorHAnsi" w:hAnsiTheme="minorHAnsi" w:cstheme="minorHAnsi"/>
          <w:bCs/>
          <w:sz w:val="20"/>
        </w:rPr>
        <w:t>Sportovní areál – Odry, kluziště</w:t>
      </w:r>
      <w:r w:rsidRPr="00AE3826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(dále: „smlouva“) vychází a je plně v souladu se zadávacími podmínkami a nabídkou </w:t>
      </w:r>
      <w:r w:rsidR="003E6BA6" w:rsidRPr="00484CF9">
        <w:rPr>
          <w:rFonts w:asciiTheme="minorHAnsi" w:hAnsiTheme="minorHAnsi" w:cstheme="minorHAnsi"/>
          <w:sz w:val="20"/>
        </w:rPr>
        <w:t>účastníka</w:t>
      </w:r>
      <w:r w:rsidRPr="00484CF9">
        <w:rPr>
          <w:rFonts w:asciiTheme="minorHAnsi" w:hAnsiTheme="minorHAnsi" w:cstheme="minorHAnsi"/>
          <w:sz w:val="20"/>
        </w:rPr>
        <w:t xml:space="preserve"> v</w:t>
      </w:r>
      <w:r w:rsidR="00725F2D">
        <w:rPr>
          <w:rFonts w:asciiTheme="minorHAnsi" w:hAnsiTheme="minorHAnsi" w:cstheme="minorHAnsi"/>
          <w:sz w:val="20"/>
        </w:rPr>
        <w:t>e výběrovém ř</w:t>
      </w:r>
      <w:r w:rsidRPr="00484CF9">
        <w:rPr>
          <w:rFonts w:asciiTheme="minorHAnsi" w:hAnsiTheme="minorHAnsi" w:cstheme="minorHAnsi"/>
          <w:sz w:val="20"/>
        </w:rPr>
        <w:t xml:space="preserve">ízení k plnění předmětu veřejné zakázky, jež předcházelo uzavření této smlouvy. Zadavatel je ekvivalentním pojmem pro objednatele díla. </w:t>
      </w:r>
      <w:r w:rsidR="003E6BA6" w:rsidRPr="00484CF9">
        <w:rPr>
          <w:rFonts w:asciiTheme="minorHAnsi" w:hAnsiTheme="minorHAnsi" w:cstheme="minorHAnsi"/>
          <w:sz w:val="20"/>
        </w:rPr>
        <w:t>Účastník</w:t>
      </w:r>
      <w:r w:rsidRPr="00484CF9">
        <w:rPr>
          <w:rFonts w:asciiTheme="minorHAnsi" w:hAnsiTheme="minorHAnsi" w:cstheme="minorHAnsi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484CF9">
        <w:rPr>
          <w:rFonts w:asciiTheme="minorHAnsi" w:hAnsiTheme="minorHAnsi" w:cstheme="minorHAnsi"/>
          <w:sz w:val="20"/>
        </w:rPr>
        <w:t xml:space="preserve"> </w:t>
      </w:r>
      <w:r w:rsidR="003E6BA6" w:rsidRPr="00484CF9">
        <w:rPr>
          <w:rFonts w:asciiTheme="minorHAnsi" w:hAnsiTheme="minorHAnsi" w:cstheme="minorHAnsi"/>
          <w:sz w:val="20"/>
        </w:rPr>
        <w:t xml:space="preserve"> </w:t>
      </w:r>
      <w:r w:rsidR="001C6635">
        <w:rPr>
          <w:rFonts w:asciiTheme="minorHAnsi" w:hAnsiTheme="minorHAnsi" w:cstheme="minorHAnsi"/>
          <w:sz w:val="20"/>
        </w:rPr>
        <w:t xml:space="preserve"> </w:t>
      </w:r>
    </w:p>
    <w:p w14:paraId="73D55CFA" w14:textId="77777777" w:rsidR="00C40BEA" w:rsidRPr="00484CF9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</w:p>
    <w:p w14:paraId="73D55CFB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je odborně způsobilý k zajištění předmětu plnění podle této smlouvy.</w:t>
      </w:r>
    </w:p>
    <w:p w14:paraId="73D55CFD" w14:textId="7641DE74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Účelem smlouvy je zajištění projektových dokumentací s doprovodnými inženýrskými činnostmi k získání </w:t>
      </w:r>
      <w:r w:rsidRPr="003D3693">
        <w:rPr>
          <w:rFonts w:asciiTheme="minorHAnsi" w:hAnsiTheme="minorHAnsi" w:cstheme="minorHAnsi"/>
          <w:sz w:val="20"/>
        </w:rPr>
        <w:t xml:space="preserve">potřebných povolení pro realizaci </w:t>
      </w:r>
      <w:r w:rsidR="00712511">
        <w:rPr>
          <w:rFonts w:asciiTheme="minorHAnsi" w:hAnsiTheme="minorHAnsi" w:cstheme="minorHAnsi"/>
          <w:sz w:val="20"/>
        </w:rPr>
        <w:t>stavby</w:t>
      </w:r>
      <w:r w:rsidRPr="003D3693">
        <w:rPr>
          <w:rFonts w:asciiTheme="minorHAnsi" w:hAnsiTheme="minorHAnsi" w:cstheme="minorHAnsi"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„</w:t>
      </w:r>
      <w:r w:rsidR="00712511">
        <w:rPr>
          <w:rFonts w:ascii="Calibri" w:hAnsi="Calibri" w:cs="Calibri"/>
          <w:bCs/>
          <w:sz w:val="20"/>
        </w:rPr>
        <w:t>Sportovní areál – Odry, kluziště</w:t>
      </w:r>
      <w:r w:rsidR="00484CF9" w:rsidRPr="003D3693">
        <w:rPr>
          <w:rFonts w:ascii="Calibri" w:hAnsi="Calibri" w:cs="Calibri"/>
          <w:bCs/>
          <w:sz w:val="20"/>
        </w:rPr>
        <w:t>“.</w:t>
      </w:r>
      <w:r w:rsidR="00484CF9" w:rsidRPr="00484CF9">
        <w:rPr>
          <w:rFonts w:ascii="Calibri" w:hAnsi="Calibri" w:cs="Calibri"/>
          <w:bCs/>
          <w:sz w:val="20"/>
        </w:rPr>
        <w:t xml:space="preserve"> </w:t>
      </w:r>
    </w:p>
    <w:p w14:paraId="73D55CFE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>
        <w:rPr>
          <w:rFonts w:asciiTheme="minorHAnsi" w:hAnsiTheme="minorHAnsi" w:cstheme="minorHAnsi"/>
          <w:sz w:val="20"/>
        </w:rPr>
        <w:t xml:space="preserve"> </w:t>
      </w:r>
    </w:p>
    <w:p w14:paraId="73D55CFF" w14:textId="77777777" w:rsidR="00A24E42" w:rsidRPr="00484CF9" w:rsidRDefault="00F54572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III - </w:t>
      </w:r>
      <w:r w:rsidR="00A24E42" w:rsidRPr="00484CF9">
        <w:rPr>
          <w:rFonts w:asciiTheme="minorHAnsi" w:hAnsiTheme="minorHAnsi" w:cstheme="minorHAnsi"/>
          <w:sz w:val="20"/>
        </w:rPr>
        <w:t>Předmět plnění</w:t>
      </w:r>
    </w:p>
    <w:p w14:paraId="73D55D00" w14:textId="0411A9AA" w:rsidR="00A24E42" w:rsidRPr="00484CF9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se zavazuje pro objednatele zpracovat příslušné projektové dokumentace</w:t>
      </w:r>
      <w:r w:rsidR="00E84E15" w:rsidRPr="00484CF9">
        <w:rPr>
          <w:rFonts w:asciiTheme="minorHAnsi" w:hAnsiTheme="minorHAnsi" w:cstheme="minorHAnsi"/>
          <w:sz w:val="20"/>
        </w:rPr>
        <w:t xml:space="preserve"> (</w:t>
      </w:r>
      <w:r w:rsidR="00A770E6">
        <w:rPr>
          <w:rFonts w:asciiTheme="minorHAnsi" w:hAnsiTheme="minorHAnsi" w:cstheme="minorHAnsi"/>
          <w:sz w:val="20"/>
        </w:rPr>
        <w:t>dále také jen „</w:t>
      </w:r>
      <w:r w:rsidR="00E84E15" w:rsidRPr="00484CF9">
        <w:rPr>
          <w:rFonts w:asciiTheme="minorHAnsi" w:hAnsiTheme="minorHAnsi" w:cstheme="minorHAnsi"/>
          <w:sz w:val="20"/>
        </w:rPr>
        <w:t>PD</w:t>
      </w:r>
      <w:r w:rsidR="00A770E6">
        <w:rPr>
          <w:rFonts w:asciiTheme="minorHAnsi" w:hAnsiTheme="minorHAnsi" w:cstheme="minorHAnsi"/>
          <w:sz w:val="20"/>
        </w:rPr>
        <w:t>“</w:t>
      </w:r>
      <w:r w:rsidR="00E84E15" w:rsidRPr="00484CF9">
        <w:rPr>
          <w:rFonts w:asciiTheme="minorHAnsi" w:hAnsiTheme="minorHAnsi" w:cstheme="minorHAnsi"/>
          <w:sz w:val="20"/>
        </w:rPr>
        <w:t>)</w:t>
      </w:r>
      <w:r w:rsidR="00C40BEA" w:rsidRPr="00484CF9">
        <w:rPr>
          <w:rFonts w:asciiTheme="minorHAnsi" w:hAnsiTheme="minorHAnsi" w:cstheme="minorHAnsi"/>
          <w:sz w:val="20"/>
        </w:rPr>
        <w:t xml:space="preserve">, </w:t>
      </w:r>
      <w:r w:rsidR="00AD5975" w:rsidRPr="00484CF9">
        <w:rPr>
          <w:rFonts w:asciiTheme="minorHAnsi" w:hAnsiTheme="minorHAnsi" w:cstheme="minorHAnsi"/>
          <w:sz w:val="20"/>
        </w:rPr>
        <w:t>získat</w:t>
      </w:r>
      <w:r w:rsidR="00C40BEA" w:rsidRPr="00484CF9">
        <w:rPr>
          <w:rFonts w:asciiTheme="minorHAnsi" w:hAnsiTheme="minorHAnsi" w:cstheme="minorHAnsi"/>
          <w:sz w:val="20"/>
        </w:rPr>
        <w:t xml:space="preserve"> potřebná </w:t>
      </w:r>
      <w:r w:rsidR="00484CF9">
        <w:rPr>
          <w:rFonts w:asciiTheme="minorHAnsi" w:hAnsiTheme="minorHAnsi" w:cstheme="minorHAnsi"/>
          <w:sz w:val="20"/>
        </w:rPr>
        <w:t xml:space="preserve">rozhodnutí </w:t>
      </w:r>
      <w:r w:rsidRPr="00484CF9">
        <w:rPr>
          <w:rFonts w:asciiTheme="minorHAnsi" w:hAnsiTheme="minorHAnsi" w:cstheme="minorHAnsi"/>
          <w:sz w:val="20"/>
        </w:rPr>
        <w:t xml:space="preserve">pro stavbu </w:t>
      </w:r>
      <w:r w:rsidR="00F54572" w:rsidRPr="00484CF9">
        <w:rPr>
          <w:rFonts w:asciiTheme="minorHAnsi" w:hAnsiTheme="minorHAnsi" w:cstheme="minorHAnsi"/>
          <w:sz w:val="20"/>
        </w:rPr>
        <w:t>„</w:t>
      </w:r>
      <w:r w:rsidR="00FB00FA">
        <w:rPr>
          <w:rFonts w:asciiTheme="minorHAnsi" w:hAnsiTheme="minorHAnsi" w:cstheme="minorHAnsi"/>
          <w:bCs/>
          <w:sz w:val="20"/>
        </w:rPr>
        <w:t>Sportovní areál – Odry, kluziště</w:t>
      </w:r>
      <w:r w:rsidR="00F54572" w:rsidRPr="00484CF9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 jen „dílo“). Předmět plnění bude zpracován v souladu se zadávacími podmínkami </w:t>
      </w:r>
      <w:r w:rsidR="00096177">
        <w:rPr>
          <w:rFonts w:asciiTheme="minorHAnsi" w:hAnsiTheme="minorHAnsi" w:cstheme="minorHAnsi"/>
          <w:sz w:val="20"/>
        </w:rPr>
        <w:t>výběrového</w:t>
      </w:r>
      <w:r w:rsidRPr="00484CF9">
        <w:rPr>
          <w:rFonts w:asciiTheme="minorHAnsi" w:hAnsiTheme="minorHAnsi" w:cstheme="minorHAnsi"/>
          <w:sz w:val="20"/>
        </w:rPr>
        <w:t xml:space="preserve"> řízení, jež předcházelo uzavření této smlouvy.</w:t>
      </w:r>
      <w:r w:rsidR="00566418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AD5975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505E69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C64DC4">
        <w:rPr>
          <w:rFonts w:asciiTheme="minorHAnsi" w:hAnsiTheme="minorHAnsi" w:cstheme="minorHAnsi"/>
          <w:i/>
          <w:iCs/>
          <w:sz w:val="20"/>
        </w:rPr>
        <w:t xml:space="preserve"> </w:t>
      </w:r>
    </w:p>
    <w:p w14:paraId="73D55D01" w14:textId="77777777" w:rsidR="00A24E42" w:rsidRPr="00035146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035146">
        <w:rPr>
          <w:rFonts w:asciiTheme="minorHAnsi" w:hAnsiTheme="minorHAnsi" w:cstheme="minorHAnsi"/>
          <w:sz w:val="20"/>
        </w:rPr>
        <w:t>Dílo má následující rozsah:</w:t>
      </w:r>
    </w:p>
    <w:p w14:paraId="1699650A" w14:textId="47E58572" w:rsidR="00292F01" w:rsidRDefault="00207CE8" w:rsidP="00292F01">
      <w:pPr>
        <w:jc w:val="both"/>
        <w:rPr>
          <w:rFonts w:ascii="Calibri" w:hAnsi="Calibri" w:cs="Calibri"/>
          <w:sz w:val="20"/>
          <w:szCs w:val="20"/>
        </w:rPr>
      </w:pPr>
      <w:r w:rsidRPr="002E2878">
        <w:rPr>
          <w:rFonts w:ascii="Calibri" w:hAnsi="Calibri" w:cs="Calibri"/>
          <w:b/>
          <w:bCs/>
          <w:sz w:val="20"/>
          <w:szCs w:val="20"/>
        </w:rPr>
        <w:t>a) Dokumentace pro vydání společného povolení</w:t>
      </w:r>
      <w:r w:rsidRPr="002E2878">
        <w:rPr>
          <w:rFonts w:ascii="Calibri" w:hAnsi="Calibri" w:cs="Calibri"/>
          <w:sz w:val="20"/>
          <w:szCs w:val="20"/>
        </w:rPr>
        <w:t xml:space="preserve"> </w:t>
      </w:r>
      <w:r w:rsidRPr="002E2878">
        <w:rPr>
          <w:rFonts w:ascii="Calibri" w:hAnsi="Calibri" w:cs="Calibri"/>
          <w:b/>
          <w:bCs/>
          <w:sz w:val="20"/>
          <w:szCs w:val="20"/>
        </w:rPr>
        <w:t>(dále také jen „DSP“)</w:t>
      </w:r>
      <w:r w:rsidRPr="002E2878">
        <w:rPr>
          <w:rFonts w:ascii="Calibri" w:hAnsi="Calibri" w:cs="Calibri"/>
          <w:sz w:val="20"/>
          <w:szCs w:val="20"/>
        </w:rPr>
        <w:t xml:space="preserve"> – </w:t>
      </w:r>
      <w:r w:rsidRPr="009B48DB">
        <w:rPr>
          <w:rFonts w:ascii="Calibri" w:hAnsi="Calibri" w:cs="Calibri"/>
          <w:sz w:val="20"/>
          <w:szCs w:val="20"/>
        </w:rPr>
        <w:t xml:space="preserve">zpracování projektové dokumentace pro vydání společného povolení, která bude vypracována dle </w:t>
      </w:r>
      <w:r w:rsidR="00425701">
        <w:rPr>
          <w:rFonts w:ascii="Calibri" w:hAnsi="Calibri" w:cs="Calibri"/>
          <w:sz w:val="20"/>
          <w:szCs w:val="20"/>
        </w:rPr>
        <w:t xml:space="preserve">přílohy </w:t>
      </w:r>
      <w:r w:rsidRPr="009B48DB">
        <w:rPr>
          <w:rFonts w:ascii="Calibri" w:hAnsi="Calibri" w:cs="Calibri"/>
          <w:sz w:val="20"/>
          <w:szCs w:val="20"/>
        </w:rPr>
        <w:t xml:space="preserve">č. </w:t>
      </w:r>
      <w:r w:rsidR="00425701">
        <w:rPr>
          <w:rFonts w:ascii="Calibri" w:hAnsi="Calibri" w:cs="Calibri"/>
          <w:sz w:val="20"/>
          <w:szCs w:val="20"/>
        </w:rPr>
        <w:t>8</w:t>
      </w:r>
      <w:r w:rsidRPr="009B48DB">
        <w:rPr>
          <w:rFonts w:ascii="Calibri" w:hAnsi="Calibri" w:cs="Calibri"/>
          <w:sz w:val="20"/>
          <w:szCs w:val="20"/>
        </w:rPr>
        <w:t xml:space="preserve"> vyhlášky č. 499/2006 Sb. o dokumentaci staveb, ve znění pozdějších předpisů. Tato projektová dokumentace bude obsahovat veškeré</w:t>
      </w:r>
      <w:r w:rsidRPr="002E2878">
        <w:rPr>
          <w:rFonts w:ascii="Calibri" w:hAnsi="Calibri" w:cs="Calibri"/>
          <w:sz w:val="20"/>
          <w:szCs w:val="20"/>
        </w:rPr>
        <w:t xml:space="preserve">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</w:p>
    <w:p w14:paraId="63F61739" w14:textId="77777777" w:rsidR="00342FDE" w:rsidRDefault="00342FDE" w:rsidP="00292F01">
      <w:pPr>
        <w:jc w:val="both"/>
        <w:rPr>
          <w:rFonts w:ascii="Calibri" w:hAnsi="Calibri" w:cs="Calibri"/>
          <w:sz w:val="20"/>
          <w:szCs w:val="20"/>
        </w:rPr>
      </w:pPr>
    </w:p>
    <w:p w14:paraId="16A67D47" w14:textId="3F380A76" w:rsidR="00292F01" w:rsidRPr="00425B98" w:rsidRDefault="00292F01" w:rsidP="00292F01">
      <w:pPr>
        <w:jc w:val="both"/>
        <w:rPr>
          <w:rFonts w:ascii="Calibri" w:hAnsi="Calibri" w:cs="Calibri"/>
          <w:sz w:val="20"/>
          <w:szCs w:val="20"/>
        </w:rPr>
      </w:pPr>
      <w:r w:rsidRPr="00425B98">
        <w:rPr>
          <w:rFonts w:ascii="Calibri" w:hAnsi="Calibri" w:cs="Calibri"/>
          <w:sz w:val="20"/>
          <w:szCs w:val="20"/>
        </w:rPr>
        <w:t xml:space="preserve">Součástí zpracování dokumentace je veškerá inženýrská činnost potřebná pro získání příslušného rozhodnutí o povolení stavby. </w:t>
      </w:r>
    </w:p>
    <w:p w14:paraId="73D55D05" w14:textId="77777777" w:rsidR="00B45202" w:rsidRPr="00B45202" w:rsidRDefault="00B45202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3D55D06" w14:textId="751A6016" w:rsidR="00B45202" w:rsidRPr="00B45202" w:rsidRDefault="00207CE8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B45202" w:rsidRPr="00B45202">
        <w:rPr>
          <w:rFonts w:asciiTheme="minorHAnsi" w:hAnsiTheme="minorHAnsi" w:cstheme="minorHAnsi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>vše členěné dle jednotlivých stavebních objektů</w:t>
      </w:r>
      <w:r w:rsidR="00A770E6">
        <w:rPr>
          <w:rFonts w:asciiTheme="minorHAnsi" w:hAnsiTheme="minorHAnsi" w:cstheme="minorHAnsi"/>
          <w:bCs/>
          <w:sz w:val="20"/>
          <w:szCs w:val="20"/>
        </w:rPr>
        <w:t xml:space="preserve"> (dále také jen „SO“</w:t>
      </w:r>
      <w:r w:rsidR="00787751">
        <w:rPr>
          <w:rFonts w:asciiTheme="minorHAnsi" w:hAnsiTheme="minorHAnsi" w:cstheme="minorHAnsi"/>
          <w:bCs/>
          <w:sz w:val="20"/>
          <w:szCs w:val="20"/>
        </w:rPr>
        <w:t>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a provozních soubor</w:t>
      </w:r>
      <w:r w:rsidR="007C3B9A">
        <w:rPr>
          <w:rFonts w:asciiTheme="minorHAnsi" w:hAnsiTheme="minorHAnsi" w:cstheme="minorHAnsi"/>
          <w:bCs/>
          <w:sz w:val="20"/>
          <w:szCs w:val="20"/>
        </w:rPr>
        <w:t>ů</w:t>
      </w:r>
      <w:r w:rsidR="00787751">
        <w:rPr>
          <w:rFonts w:asciiTheme="minorHAnsi" w:hAnsiTheme="minorHAnsi" w:cstheme="minorHAnsi"/>
          <w:bCs/>
          <w:sz w:val="20"/>
          <w:szCs w:val="20"/>
        </w:rPr>
        <w:t xml:space="preserve"> (dále také jen „PS“)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v souladu s vyhláškou č. 169/2016 Sb. </w:t>
      </w:r>
    </w:p>
    <w:p w14:paraId="20FBCB64" w14:textId="77777777" w:rsidR="00001CC5" w:rsidRDefault="00001CC5" w:rsidP="00B45202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999F5C" w14:textId="5895AF75" w:rsidR="009E181C" w:rsidRPr="000D5466" w:rsidRDefault="009E181C" w:rsidP="009E181C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Dokumentace pro provádění stavby </w:t>
      </w:r>
      <w:r w:rsidRPr="00B528FE">
        <w:rPr>
          <w:rFonts w:ascii="Calibri" w:hAnsi="Calibri" w:cs="Calibri"/>
          <w:b/>
          <w:bCs/>
          <w:sz w:val="20"/>
          <w:szCs w:val="20"/>
        </w:rPr>
        <w:t xml:space="preserve">(dále také jen „DPS“) </w:t>
      </w:r>
      <w:r w:rsidRPr="00B528FE">
        <w:rPr>
          <w:rFonts w:ascii="Calibri" w:hAnsi="Calibri" w:cs="Calibri"/>
          <w:sz w:val="20"/>
          <w:szCs w:val="20"/>
        </w:rPr>
        <w:t>- zpracování</w:t>
      </w:r>
      <w:r w:rsidRPr="000D5466">
        <w:rPr>
          <w:rFonts w:ascii="Calibri" w:hAnsi="Calibri" w:cs="Calibri"/>
          <w:sz w:val="20"/>
          <w:szCs w:val="20"/>
        </w:rPr>
        <w:t xml:space="preserve"> dokumentace pro provádění stavby, která bude zpracována </w:t>
      </w:r>
      <w:r w:rsidRPr="009B48DB">
        <w:rPr>
          <w:rFonts w:ascii="Calibri" w:hAnsi="Calibri" w:cs="Calibri"/>
          <w:sz w:val="20"/>
          <w:szCs w:val="20"/>
        </w:rPr>
        <w:t>dle přílohy č. 13 vyhlášky č. 499/2006 Sb., o dokumentaci staveb, ve znění pozd. předpisů, do podrobností nezbytných pro účast dodavatele v zadávacím řízení v souladu s § 92 zákona a dále v souladu s vyhláškou č. 169/2016 Sb., kterou se stanoví rozsah dokumentace</w:t>
      </w:r>
      <w:r w:rsidRPr="000D5466">
        <w:rPr>
          <w:rFonts w:ascii="Calibri" w:hAnsi="Calibri" w:cs="Calibri"/>
          <w:sz w:val="20"/>
          <w:szCs w:val="20"/>
        </w:rPr>
        <w:t xml:space="preserve"> veřejné zakázky na stavební práce. Součástí je rovněž spolupráce dodavatele při výběru zhotovitele stavby, zejména za účelem vyjasnění případných nejasností, dodatečných dotazů a změn proti projektu pro provedení stavby. </w:t>
      </w:r>
    </w:p>
    <w:p w14:paraId="0E997BC6" w14:textId="77777777" w:rsidR="00896FD9" w:rsidRPr="000D5466" w:rsidRDefault="00896FD9" w:rsidP="00896FD9">
      <w:pPr>
        <w:spacing w:before="2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 w:rsidRPr="000D5466">
        <w:rPr>
          <w:rFonts w:ascii="Calibri" w:hAnsi="Calibri" w:cs="Calibri"/>
          <w:b/>
          <w:bCs/>
          <w:sz w:val="20"/>
          <w:szCs w:val="20"/>
        </w:rPr>
        <w:t>) Výkon autorského dozoru (</w:t>
      </w:r>
      <w:r>
        <w:rPr>
          <w:rFonts w:ascii="Calibri" w:hAnsi="Calibri" w:cs="Calibri"/>
          <w:b/>
          <w:bCs/>
          <w:sz w:val="20"/>
          <w:szCs w:val="20"/>
        </w:rPr>
        <w:t>dále také jen „</w:t>
      </w:r>
      <w:r w:rsidRPr="000D5466">
        <w:rPr>
          <w:rFonts w:ascii="Calibri" w:hAnsi="Calibri" w:cs="Calibri"/>
          <w:b/>
          <w:bCs/>
          <w:sz w:val="20"/>
          <w:szCs w:val="20"/>
        </w:rPr>
        <w:t>AD</w:t>
      </w:r>
      <w:r>
        <w:rPr>
          <w:rFonts w:ascii="Calibri" w:hAnsi="Calibri" w:cs="Calibri"/>
          <w:b/>
          <w:bCs/>
          <w:sz w:val="20"/>
          <w:szCs w:val="20"/>
        </w:rPr>
        <w:t>“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- </w:t>
      </w:r>
      <w:r w:rsidRPr="000D5466">
        <w:rPr>
          <w:rFonts w:ascii="Calibri" w:hAnsi="Calibri" w:cs="Calibri"/>
          <w:sz w:val="20"/>
          <w:szCs w:val="20"/>
        </w:rPr>
        <w:t xml:space="preserve">pro předmětnou stavbu </w:t>
      </w:r>
      <w:r w:rsidRPr="000D5466">
        <w:rPr>
          <w:rFonts w:ascii="Calibri" w:hAnsi="Calibri" w:cs="Calibri"/>
          <w:bCs/>
          <w:sz w:val="20"/>
          <w:szCs w:val="20"/>
        </w:rPr>
        <w:t>- a</w:t>
      </w:r>
      <w:r w:rsidRPr="000D5466">
        <w:rPr>
          <w:rFonts w:ascii="Calibri" w:hAnsi="Calibri" w:cs="Calibri"/>
          <w:sz w:val="20"/>
          <w:szCs w:val="20"/>
        </w:rPr>
        <w:t xml:space="preserve">utorský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0D5466"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14:paraId="4EBD7F86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kontrolních dnech stavby, </w:t>
      </w:r>
    </w:p>
    <w:p w14:paraId="5247C063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lastRenderedPageBreak/>
        <w:t>posuzování návrhů zhotovitelů na změny a odchylky v částech projektů zpracovávaných zhotovitelem díla z pohledu dodržení technicko-ekonomických parametrů stavby, dodržení lhůt výstavby, případně dalších údajů a ukazatelů,</w:t>
      </w:r>
    </w:p>
    <w:p w14:paraId="63DF7CC8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postupu výstavby z technického hlediska a z hlediska časového plánu stavby,</w:t>
      </w:r>
    </w:p>
    <w:p w14:paraId="4C833711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koordinátorem bezpečnosti práce,</w:t>
      </w:r>
    </w:p>
    <w:p w14:paraId="60E455D9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4A604289" w:rsidR="00896FD9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  <w:r w:rsidR="00342FDE">
        <w:rPr>
          <w:rFonts w:ascii="Calibri" w:hAnsi="Calibri" w:cs="Calibri"/>
          <w:sz w:val="20"/>
          <w:szCs w:val="20"/>
        </w:rPr>
        <w:t>.</w:t>
      </w:r>
    </w:p>
    <w:p w14:paraId="73D55D18" w14:textId="77777777" w:rsidR="00A24E42" w:rsidRPr="00484CF9" w:rsidRDefault="00A24E42" w:rsidP="005D3E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62F38C" w14:textId="3F422E42" w:rsidR="0015602A" w:rsidRPr="0015602A" w:rsidRDefault="0015602A" w:rsidP="0015602A">
      <w:pPr>
        <w:pStyle w:val="Default"/>
        <w:ind w:left="426" w:hanging="426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3. </w:t>
      </w:r>
      <w:r>
        <w:rPr>
          <w:rFonts w:ascii="Calibri" w:hAnsi="Calibri" w:cs="Calibri"/>
          <w:sz w:val="20"/>
          <w:szCs w:val="20"/>
        </w:rPr>
        <w:tab/>
      </w:r>
      <w:r w:rsidRPr="0015602A">
        <w:rPr>
          <w:rFonts w:ascii="Calibri" w:hAnsi="Calibri" w:cs="Calibri"/>
          <w:sz w:val="20"/>
          <w:szCs w:val="20"/>
        </w:rPr>
        <w:t xml:space="preserve">Veškeré projektové práce budou v souladu s: </w:t>
      </w:r>
    </w:p>
    <w:p w14:paraId="0E261555" w14:textId="77777777" w:rsidR="0015602A" w:rsidRPr="0015602A" w:rsidRDefault="0015602A" w:rsidP="0015602A">
      <w:pPr>
        <w:pStyle w:val="Default"/>
        <w:numPr>
          <w:ilvl w:val="0"/>
          <w:numId w:val="16"/>
        </w:numPr>
        <w:spacing w:after="25"/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zákonem č. 183/2006 Sb., o územním plánování a stavebním řádu, v aktuálním znění, </w:t>
      </w:r>
    </w:p>
    <w:p w14:paraId="660D1EB1" w14:textId="77777777" w:rsidR="0015602A" w:rsidRPr="0015602A" w:rsidRDefault="0015602A" w:rsidP="0015602A">
      <w:pPr>
        <w:pStyle w:val="Default"/>
        <w:numPr>
          <w:ilvl w:val="0"/>
          <w:numId w:val="16"/>
        </w:numPr>
        <w:spacing w:after="25"/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vyhláškou č. 503/2006 Sb. o podrobnější úpravě územního řízení, veřejnoprávní smlouvy, a územního opatření, v aktuálním znění, </w:t>
      </w:r>
    </w:p>
    <w:p w14:paraId="205F4AB6" w14:textId="77777777" w:rsidR="0015602A" w:rsidRPr="0015602A" w:rsidRDefault="0015602A" w:rsidP="0015602A">
      <w:pPr>
        <w:pStyle w:val="Default"/>
        <w:numPr>
          <w:ilvl w:val="0"/>
          <w:numId w:val="16"/>
        </w:numPr>
        <w:spacing w:after="25"/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vyhláškou č. 499/2006 o dokumentaci staveb, v aktuálním znění, </w:t>
      </w:r>
    </w:p>
    <w:p w14:paraId="02C1FCDD" w14:textId="77777777" w:rsidR="0015602A" w:rsidRPr="0015602A" w:rsidRDefault="0015602A" w:rsidP="0015602A">
      <w:pPr>
        <w:pStyle w:val="Default"/>
        <w:numPr>
          <w:ilvl w:val="0"/>
          <w:numId w:val="16"/>
        </w:numPr>
        <w:spacing w:after="25"/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vyhláškou č. 268/2009 o technických požadavcích na stavby, v aktuálním znění, </w:t>
      </w:r>
    </w:p>
    <w:p w14:paraId="670E6E78" w14:textId="77777777" w:rsidR="0015602A" w:rsidRPr="0015602A" w:rsidRDefault="0015602A" w:rsidP="0015602A">
      <w:pPr>
        <w:pStyle w:val="Default"/>
        <w:numPr>
          <w:ilvl w:val="0"/>
          <w:numId w:val="16"/>
        </w:numPr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vyhláškou č. 398/2009 o obecných technických požadavcích zabezpečujících bezbariérové užívání staveb, v aktuálním znění, </w:t>
      </w:r>
    </w:p>
    <w:p w14:paraId="2FB0D6AD" w14:textId="77777777" w:rsidR="0015602A" w:rsidRPr="0015602A" w:rsidRDefault="0015602A" w:rsidP="0015602A">
      <w:pPr>
        <w:pStyle w:val="Default"/>
        <w:numPr>
          <w:ilvl w:val="0"/>
          <w:numId w:val="17"/>
        </w:numPr>
        <w:spacing w:after="25"/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vyhláškou č. 169/2016 Sb. v aktuálním znění, </w:t>
      </w:r>
    </w:p>
    <w:p w14:paraId="2E28769A" w14:textId="331DE3FF" w:rsidR="0015602A" w:rsidRDefault="0015602A" w:rsidP="0015602A">
      <w:pPr>
        <w:pStyle w:val="Default"/>
        <w:numPr>
          <w:ilvl w:val="0"/>
          <w:numId w:val="17"/>
        </w:numPr>
        <w:ind w:left="851" w:hanging="284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metodikou České komory architektů STANDARDY PROFESNÍCH </w:t>
      </w:r>
      <w:r>
        <w:rPr>
          <w:rFonts w:ascii="Calibri" w:hAnsi="Calibri" w:cs="Calibri"/>
          <w:sz w:val="20"/>
          <w:szCs w:val="20"/>
        </w:rPr>
        <w:t>VÝKONŮ A SOUVISEJÍCÍCH ČINNOSTÍ.</w:t>
      </w:r>
    </w:p>
    <w:p w14:paraId="1CC06EFA" w14:textId="77777777" w:rsidR="0015602A" w:rsidRPr="0015602A" w:rsidRDefault="0015602A" w:rsidP="0015602A">
      <w:pPr>
        <w:pStyle w:val="Default"/>
        <w:ind w:left="851"/>
        <w:rPr>
          <w:rFonts w:ascii="Calibri" w:hAnsi="Calibri" w:cs="Calibri"/>
          <w:sz w:val="20"/>
          <w:szCs w:val="20"/>
        </w:rPr>
      </w:pPr>
    </w:p>
    <w:p w14:paraId="73D55D19" w14:textId="4999DF4E" w:rsidR="00D31B7F" w:rsidRPr="00484CF9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Jednotlivé dokumenty, které jsou předmětem díla, </w:t>
      </w:r>
      <w:r w:rsidR="00AD5975" w:rsidRPr="00484CF9">
        <w:rPr>
          <w:rFonts w:asciiTheme="minorHAnsi" w:hAnsiTheme="minorHAnsi" w:cstheme="minorHAnsi"/>
          <w:sz w:val="20"/>
        </w:rPr>
        <w:t xml:space="preserve">budou objednateli předány </w:t>
      </w:r>
      <w:r w:rsidRPr="00484CF9">
        <w:rPr>
          <w:rFonts w:asciiTheme="minorHAnsi" w:hAnsiTheme="minorHAnsi" w:cstheme="minorHAnsi"/>
          <w:sz w:val="20"/>
        </w:rPr>
        <w:t>v</w:t>
      </w:r>
      <w:r w:rsidR="00AD5975" w:rsidRPr="00484CF9">
        <w:rPr>
          <w:rFonts w:asciiTheme="minorHAnsi" w:hAnsiTheme="minorHAnsi" w:cstheme="minorHAnsi"/>
          <w:sz w:val="20"/>
        </w:rPr>
        <w:t xml:space="preserve">e </w:t>
      </w:r>
      <w:r w:rsidR="00D31B7F" w:rsidRPr="00484CF9">
        <w:rPr>
          <w:rFonts w:asciiTheme="minorHAnsi" w:hAnsiTheme="minorHAnsi" w:cstheme="minorHAnsi"/>
          <w:sz w:val="20"/>
        </w:rPr>
        <w:t>3</w:t>
      </w:r>
      <w:r w:rsidR="00471D79" w:rsidRPr="00484CF9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vyhotoveních v listinné formě a v </w:t>
      </w:r>
      <w:r w:rsidR="007B7676">
        <w:rPr>
          <w:rFonts w:asciiTheme="minorHAnsi" w:hAnsiTheme="minorHAnsi" w:cstheme="minorHAnsi"/>
          <w:sz w:val="20"/>
        </w:rPr>
        <w:t>1 vyhotovení</w:t>
      </w:r>
      <w:r w:rsidRPr="00484CF9">
        <w:rPr>
          <w:rFonts w:asciiTheme="minorHAnsi" w:hAnsiTheme="minorHAnsi" w:cstheme="minorHAnsi"/>
          <w:sz w:val="20"/>
        </w:rPr>
        <w:t xml:space="preserve"> v digitální formě na CD či DVD nosiči ve formátu pro textovou část PD v *.doc či *.docx, </w:t>
      </w:r>
      <w:r w:rsidR="00640D72" w:rsidRPr="00484CF9">
        <w:rPr>
          <w:rFonts w:asciiTheme="minorHAnsi" w:hAnsiTheme="minorHAnsi" w:cstheme="minorHAnsi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484CF9">
        <w:rPr>
          <w:rFonts w:asciiTheme="minorHAnsi" w:hAnsiTheme="minorHAnsi" w:cstheme="minorHAnsi"/>
          <w:sz w:val="20"/>
        </w:rPr>
        <w:t xml:space="preserve">. </w:t>
      </w:r>
    </w:p>
    <w:p w14:paraId="73D55D1A" w14:textId="6E3EF4EC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DPS bude předána v 6 vy</w:t>
      </w:r>
      <w:r w:rsidR="007B7676">
        <w:rPr>
          <w:rFonts w:asciiTheme="minorHAnsi" w:hAnsiTheme="minorHAnsi" w:cstheme="minorHAnsi"/>
          <w:sz w:val="20"/>
        </w:rPr>
        <w:t>hotoveních v listinné formě a v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7B7676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vyhotovení v digitální formě na CD či </w:t>
      </w:r>
      <w:r w:rsidR="00ED0E0D" w:rsidRPr="00484CF9">
        <w:rPr>
          <w:rFonts w:asciiTheme="minorHAnsi" w:hAnsiTheme="minorHAnsi" w:cstheme="minorHAnsi"/>
          <w:sz w:val="20"/>
        </w:rPr>
        <w:t>D</w:t>
      </w:r>
      <w:r w:rsidRPr="00484CF9">
        <w:rPr>
          <w:rFonts w:asciiTheme="minorHAnsi" w:hAnsiTheme="minorHAnsi" w:cstheme="minorHAnsi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  <w:r w:rsidR="00896FD9">
        <w:rPr>
          <w:rFonts w:asciiTheme="minorHAnsi" w:hAnsiTheme="minorHAnsi" w:cstheme="minorHAnsi"/>
          <w:sz w:val="20"/>
        </w:rPr>
        <w:t xml:space="preserve"> </w:t>
      </w:r>
    </w:p>
    <w:p w14:paraId="73D55D1B" w14:textId="77777777" w:rsidR="00A24E42" w:rsidRPr="00484CF9" w:rsidRDefault="00A24E42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Dále bude po vydání pravomocného rozhodnutí objednateli předána PD ověřená s</w:t>
      </w:r>
      <w:r w:rsidR="00D31B7F" w:rsidRPr="00484CF9">
        <w:rPr>
          <w:rFonts w:asciiTheme="minorHAnsi" w:hAnsiTheme="minorHAnsi" w:cstheme="minorHAnsi"/>
          <w:sz w:val="20"/>
        </w:rPr>
        <w:t>tavebním úřadem.</w:t>
      </w:r>
    </w:p>
    <w:p w14:paraId="73D55D1C" w14:textId="7677DAF2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Do počtu paré dokumentací v listinné podobě se</w:t>
      </w:r>
      <w:r w:rsidR="00035146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nezapočítávají dokumentace, </w:t>
      </w:r>
      <w:r w:rsidR="008D1C5F" w:rsidRPr="00484CF9">
        <w:rPr>
          <w:rFonts w:asciiTheme="minorHAnsi" w:hAnsiTheme="minorHAnsi" w:cstheme="minorHAnsi"/>
          <w:sz w:val="20"/>
        </w:rPr>
        <w:t>které bude potřeba pro zajištění vyjádření a stanovisek pro stavební úřad, dále pak dokumentace potřebné pro stavební úřad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1D" w14:textId="763832A5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</w:t>
      </w:r>
      <w:r w:rsidR="009F2C0E">
        <w:rPr>
          <w:rFonts w:asciiTheme="minorHAnsi" w:hAnsiTheme="minorHAnsi" w:cstheme="minorHAnsi"/>
          <w:sz w:val="20"/>
        </w:rPr>
        <w:t>„</w:t>
      </w:r>
      <w:r w:rsidRPr="00484CF9">
        <w:rPr>
          <w:rFonts w:asciiTheme="minorHAnsi" w:hAnsiTheme="minorHAnsi" w:cstheme="minorHAnsi"/>
          <w:sz w:val="20"/>
        </w:rPr>
        <w:t>nezaheslované</w:t>
      </w:r>
      <w:r w:rsidR="009F2C0E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484CF9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Objednatel se zavazuje řádně provedené dílo bez vad a nedodělků převzít a zaplatit za ně zhotovitel</w:t>
      </w:r>
      <w:r w:rsidR="00B45202">
        <w:rPr>
          <w:rFonts w:asciiTheme="minorHAnsi" w:hAnsiTheme="minorHAnsi" w:cstheme="minorHAnsi"/>
          <w:sz w:val="20"/>
        </w:rPr>
        <w:t>i cenu dle čl. VII této smlouvy</w:t>
      </w:r>
      <w:r w:rsidR="00B45202" w:rsidRPr="00B45202">
        <w:rPr>
          <w:rFonts w:asciiTheme="minorHAnsi" w:hAnsiTheme="minorHAnsi" w:cstheme="minorHAnsi"/>
          <w:iCs/>
          <w:sz w:val="20"/>
        </w:rPr>
        <w:t>.</w:t>
      </w:r>
    </w:p>
    <w:p w14:paraId="73D55D20" w14:textId="65B2DDC6" w:rsidR="00A24E42" w:rsidRDefault="00A24E42" w:rsidP="001C07AB">
      <w:pPr>
        <w:pStyle w:val="OdstavecSmlouvy"/>
        <w:numPr>
          <w:ilvl w:val="0"/>
          <w:numId w:val="4"/>
        </w:numPr>
        <w:spacing w:before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předmět plnění není plněním nemožným a že tuto smlouvu uzavřely po pečlivém zvážení všech možných důsledků.</w:t>
      </w:r>
    </w:p>
    <w:p w14:paraId="19F2ED91" w14:textId="77777777" w:rsidR="00F965C8" w:rsidRDefault="00F965C8" w:rsidP="00F965C8">
      <w:pPr>
        <w:pStyle w:val="OdstavecSmlouvy"/>
        <w:spacing w:before="120"/>
        <w:ind w:left="360"/>
        <w:rPr>
          <w:rFonts w:asciiTheme="minorHAnsi" w:hAnsiTheme="minorHAnsi" w:cstheme="minorHAnsi"/>
          <w:sz w:val="20"/>
        </w:rPr>
      </w:pPr>
    </w:p>
    <w:p w14:paraId="73D55D21" w14:textId="77777777" w:rsidR="00A24E42" w:rsidRPr="00484CF9" w:rsidRDefault="00E84E15" w:rsidP="001C07AB">
      <w:pPr>
        <w:pStyle w:val="slolnkuSmlouvy"/>
        <w:spacing w:before="120" w:after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Článek I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Doba a místo plnění</w:t>
      </w:r>
    </w:p>
    <w:p w14:paraId="73D55D22" w14:textId="77777777" w:rsidR="00E84E15" w:rsidRPr="00484CF9" w:rsidRDefault="00E84E15" w:rsidP="00940A0F">
      <w:pPr>
        <w:numPr>
          <w:ilvl w:val="0"/>
          <w:numId w:val="6"/>
        </w:numPr>
        <w:ind w:left="42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Cs/>
          <w:sz w:val="20"/>
          <w:szCs w:val="20"/>
        </w:rPr>
        <w:t>Zhotov</w:t>
      </w:r>
      <w:r w:rsidRPr="00484CF9">
        <w:rPr>
          <w:rFonts w:asciiTheme="minorHAnsi" w:hAnsiTheme="minorHAnsi" w:cstheme="minorHAnsi"/>
          <w:sz w:val="20"/>
          <w:szCs w:val="20"/>
        </w:rPr>
        <w:t>itel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637ED027" w:rsidR="00E84E15" w:rsidRDefault="00E84E15" w:rsidP="00940A0F">
      <w:pPr>
        <w:widowControl w:val="0"/>
        <w:spacing w:before="120"/>
        <w:ind w:left="340" w:firstLine="8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stanoví následující dílčí termíny plnění:</w:t>
      </w:r>
    </w:p>
    <w:p w14:paraId="4CD35FB1" w14:textId="06071EA3" w:rsidR="007F14B3" w:rsidRPr="007F14B3" w:rsidRDefault="007F14B3" w:rsidP="007F14B3">
      <w:pPr>
        <w:widowControl w:val="0"/>
        <w:spacing w:before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a) </w:t>
      </w:r>
      <w:r w:rsidRPr="007F14B3">
        <w:rPr>
          <w:rFonts w:asciiTheme="minorHAnsi" w:hAnsiTheme="minorHAnsi" w:cstheme="minorHAnsi"/>
          <w:sz w:val="20"/>
          <w:szCs w:val="20"/>
        </w:rPr>
        <w:t>Zpracování dokumentace pro vydání společného povolení a předání zadavateli ke schválení - nejpozději do 120 dnů od podpisu smlouvy;</w:t>
      </w:r>
    </w:p>
    <w:p w14:paraId="640AECE1" w14:textId="215C6E8B" w:rsidR="007F14B3" w:rsidRPr="007F14B3" w:rsidRDefault="007F14B3" w:rsidP="007F14B3">
      <w:pPr>
        <w:widowControl w:val="0"/>
        <w:spacing w:before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b) </w:t>
      </w:r>
      <w:r w:rsidRPr="007F14B3">
        <w:rPr>
          <w:rFonts w:asciiTheme="minorHAnsi" w:hAnsiTheme="minorHAnsi" w:cstheme="minorHAnsi"/>
          <w:sz w:val="20"/>
          <w:szCs w:val="20"/>
        </w:rPr>
        <w:t xml:space="preserve">Zajištění potřebných stanovisek a vyjádření a podání žádosti o vydání stavebního povolení – nejpozději do 90 dnů od konečného schválení dokumentace zadavatelem dle bodu a) tohoto článku; </w:t>
      </w:r>
    </w:p>
    <w:p w14:paraId="122E5CF1" w14:textId="16D46F68" w:rsidR="007F14B3" w:rsidRPr="007F14B3" w:rsidRDefault="007F14B3" w:rsidP="007F14B3">
      <w:pPr>
        <w:widowControl w:val="0"/>
        <w:spacing w:before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c) </w:t>
      </w:r>
      <w:r w:rsidRPr="007F14B3">
        <w:rPr>
          <w:rFonts w:asciiTheme="minorHAnsi" w:hAnsiTheme="minorHAnsi" w:cstheme="minorHAnsi"/>
          <w:sz w:val="20"/>
          <w:szCs w:val="20"/>
        </w:rPr>
        <w:t xml:space="preserve">Zpracování položkových rozpočtů a dokumentace pro provádění stavby – nejpozději do 60 dnů od výzvy zadavatele; </w:t>
      </w:r>
    </w:p>
    <w:p w14:paraId="17B03DEE" w14:textId="48A1547F" w:rsidR="007F14B3" w:rsidRPr="007F14B3" w:rsidRDefault="007F14B3" w:rsidP="007F14B3">
      <w:pPr>
        <w:widowControl w:val="0"/>
        <w:spacing w:before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d) </w:t>
      </w:r>
      <w:r w:rsidRPr="007F14B3">
        <w:rPr>
          <w:rFonts w:asciiTheme="minorHAnsi" w:hAnsiTheme="minorHAnsi" w:cstheme="minorHAnsi"/>
          <w:sz w:val="20"/>
          <w:szCs w:val="20"/>
        </w:rPr>
        <w:t>Inženýrská činnost od podpisu smlouvy do vydání rozhodnutí o povolení stavby včetně předání pravomocného povolení.</w:t>
      </w:r>
    </w:p>
    <w:p w14:paraId="5F4485A9" w14:textId="022FBF55" w:rsidR="007F14B3" w:rsidRPr="007F14B3" w:rsidRDefault="007F14B3" w:rsidP="00940A0F">
      <w:pPr>
        <w:widowControl w:val="0"/>
        <w:spacing w:before="120" w:after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e) </w:t>
      </w:r>
      <w:r w:rsidRPr="007F14B3">
        <w:rPr>
          <w:rFonts w:asciiTheme="minorHAnsi" w:hAnsiTheme="minorHAnsi" w:cstheme="minorHAnsi"/>
          <w:sz w:val="20"/>
          <w:szCs w:val="20"/>
        </w:rPr>
        <w:t>Výkon autorského dozoru - od započetí stavebních prací realizovaných na základě vyhotovené DPS po celou dobu jejich realizace.</w:t>
      </w:r>
    </w:p>
    <w:p w14:paraId="73D55D29" w14:textId="77777777" w:rsidR="00A24E42" w:rsidRPr="00484CF9" w:rsidRDefault="00A24E42" w:rsidP="00940A0F">
      <w:pPr>
        <w:numPr>
          <w:ilvl w:val="0"/>
          <w:numId w:val="6"/>
        </w:numPr>
        <w:spacing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16628">
        <w:rPr>
          <w:rFonts w:asciiTheme="minorHAnsi" w:hAnsiTheme="minorHAnsi" w:cstheme="minorHAnsi"/>
          <w:sz w:val="20"/>
          <w:szCs w:val="20"/>
        </w:rPr>
        <w:t>Místem plnění pro předání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jednotlivých částí díla je sídlo objednatele.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Místem pro výkon autorského dozoru je místo stavby, resp. pracoviště projektanta a to dle povahy prováděných prací.</w:t>
      </w:r>
    </w:p>
    <w:p w14:paraId="73D55D2A" w14:textId="45E23536" w:rsidR="00A24E42" w:rsidRPr="00484CF9" w:rsidRDefault="00A24E42" w:rsidP="00940A0F">
      <w:pPr>
        <w:numPr>
          <w:ilvl w:val="0"/>
          <w:numId w:val="6"/>
        </w:numPr>
        <w:spacing w:before="120"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Objednatel si vyhrazuje právo Výzvu k plnění části díla tj. </w:t>
      </w:r>
      <w:r w:rsidR="00783CCB">
        <w:rPr>
          <w:rFonts w:asciiTheme="minorHAnsi" w:hAnsiTheme="minorHAnsi" w:cstheme="minorHAnsi"/>
          <w:sz w:val="20"/>
          <w:szCs w:val="20"/>
        </w:rPr>
        <w:t>výkon autorského dozoru</w:t>
      </w:r>
      <w:r w:rsidRPr="00484CF9">
        <w:rPr>
          <w:rFonts w:asciiTheme="minorHAnsi" w:hAnsiTheme="minorHAnsi" w:cstheme="minorHAnsi"/>
          <w:sz w:val="20"/>
          <w:szCs w:val="20"/>
        </w:rPr>
        <w:t xml:space="preserve">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</w:t>
      </w:r>
      <w:r w:rsidR="00A62937">
        <w:rPr>
          <w:rFonts w:asciiTheme="minorHAnsi" w:hAnsiTheme="minorHAnsi" w:cstheme="minorHAnsi"/>
          <w:sz w:val="20"/>
          <w:szCs w:val="20"/>
        </w:rPr>
        <w:t xml:space="preserve">případné </w:t>
      </w:r>
      <w:r w:rsidRPr="00484CF9">
        <w:rPr>
          <w:rFonts w:asciiTheme="minorHAnsi" w:hAnsiTheme="minorHAnsi" w:cstheme="minorHAnsi"/>
          <w:sz w:val="20"/>
          <w:szCs w:val="20"/>
        </w:rPr>
        <w:t>podmínky poskyto</w:t>
      </w:r>
      <w:r w:rsidR="00783CCB">
        <w:rPr>
          <w:rFonts w:asciiTheme="minorHAnsi" w:hAnsiTheme="minorHAnsi" w:cstheme="minorHAnsi"/>
          <w:sz w:val="20"/>
          <w:szCs w:val="20"/>
        </w:rPr>
        <w:t xml:space="preserve">vatele dotace, který na výkon </w:t>
      </w:r>
      <w:r w:rsidR="007C1999" w:rsidRPr="00484CF9">
        <w:rPr>
          <w:rFonts w:asciiTheme="minorHAnsi" w:hAnsiTheme="minorHAnsi" w:cstheme="minorHAnsi"/>
          <w:sz w:val="20"/>
          <w:szCs w:val="20"/>
        </w:rPr>
        <w:t>autorského dozoru</w:t>
      </w:r>
      <w:r w:rsidR="00783CCB">
        <w:rPr>
          <w:rFonts w:asciiTheme="minorHAnsi" w:hAnsiTheme="minorHAnsi" w:cstheme="minorHAnsi"/>
          <w:sz w:val="20"/>
          <w:szCs w:val="20"/>
        </w:rPr>
        <w:t xml:space="preserve"> </w:t>
      </w:r>
      <w:r w:rsidR="007C1999" w:rsidRPr="00484CF9">
        <w:rPr>
          <w:rFonts w:asciiTheme="minorHAnsi" w:hAnsiTheme="minorHAnsi" w:cstheme="minorHAnsi"/>
          <w:sz w:val="20"/>
          <w:szCs w:val="20"/>
        </w:rPr>
        <w:t>v rámci akce „</w:t>
      </w:r>
      <w:r w:rsidR="00D22018">
        <w:rPr>
          <w:rFonts w:asciiTheme="minorHAnsi" w:hAnsiTheme="minorHAnsi" w:cstheme="minorHAnsi"/>
          <w:bCs/>
          <w:sz w:val="20"/>
        </w:rPr>
        <w:t>Sportovní areál – Odry, kluziště</w:t>
      </w:r>
      <w:r w:rsidR="007C1999" w:rsidRPr="00484CF9">
        <w:rPr>
          <w:rFonts w:asciiTheme="minorHAnsi" w:hAnsiTheme="minorHAnsi" w:cstheme="minorHAnsi"/>
          <w:sz w:val="20"/>
          <w:szCs w:val="20"/>
        </w:rPr>
        <w:t xml:space="preserve">“ </w:t>
      </w:r>
      <w:r w:rsidRPr="00484CF9">
        <w:rPr>
          <w:rFonts w:asciiTheme="minorHAnsi" w:hAnsiTheme="minorHAnsi" w:cstheme="minorHAnsi"/>
          <w:sz w:val="20"/>
          <w:szCs w:val="20"/>
        </w:rPr>
        <w:t>bude poskytovat nebo přispívat dotací z veřejných rozpočtů.</w:t>
      </w:r>
      <w:r w:rsidR="00F657EE">
        <w:rPr>
          <w:rFonts w:asciiTheme="minorHAnsi" w:hAnsiTheme="minorHAnsi" w:cstheme="minorHAnsi"/>
          <w:sz w:val="20"/>
          <w:szCs w:val="20"/>
        </w:rPr>
        <w:t xml:space="preserve"> </w:t>
      </w:r>
      <w:r w:rsidR="00505E69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2A4D9D" w:rsidRPr="00484CF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B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Předání díla, vlastnické právo a nebezpečí škody</w:t>
      </w:r>
    </w:p>
    <w:p w14:paraId="73D55D2C" w14:textId="175BECA0" w:rsidR="00A24E42" w:rsidRPr="005202D3" w:rsidRDefault="00A24E42" w:rsidP="00DE5050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bude zhotoveno a objednateli předáno v term</w:t>
      </w:r>
      <w:r w:rsidR="006E2293" w:rsidRPr="00484CF9">
        <w:rPr>
          <w:rFonts w:asciiTheme="minorHAnsi" w:hAnsiTheme="minorHAnsi" w:cstheme="minorHAnsi"/>
          <w:sz w:val="20"/>
        </w:rPr>
        <w:t>ín</w:t>
      </w:r>
      <w:r w:rsidR="00E263A6">
        <w:rPr>
          <w:rFonts w:asciiTheme="minorHAnsi" w:hAnsiTheme="minorHAnsi" w:cstheme="minorHAnsi"/>
          <w:sz w:val="20"/>
        </w:rPr>
        <w:t>ech</w:t>
      </w:r>
      <w:r w:rsidR="006E2293" w:rsidRPr="00484CF9">
        <w:rPr>
          <w:rFonts w:asciiTheme="minorHAnsi" w:hAnsiTheme="minorHAnsi" w:cstheme="minorHAnsi"/>
          <w:sz w:val="20"/>
        </w:rPr>
        <w:t>, vymezen</w:t>
      </w:r>
      <w:r w:rsidR="00E263A6">
        <w:rPr>
          <w:rFonts w:asciiTheme="minorHAnsi" w:hAnsiTheme="minorHAnsi" w:cstheme="minorHAnsi"/>
          <w:sz w:val="20"/>
        </w:rPr>
        <w:t>ých</w:t>
      </w:r>
      <w:r w:rsidR="006E2293" w:rsidRPr="00484CF9">
        <w:rPr>
          <w:rFonts w:asciiTheme="minorHAnsi" w:hAnsiTheme="minorHAnsi" w:cstheme="minorHAnsi"/>
          <w:sz w:val="20"/>
        </w:rPr>
        <w:t xml:space="preserve"> v čl. IV. odst. 1</w:t>
      </w:r>
      <w:r w:rsidRPr="00484CF9">
        <w:rPr>
          <w:rFonts w:asciiTheme="minorHAnsi" w:hAnsiTheme="minorHAnsi" w:cstheme="minorHAnsi"/>
          <w:sz w:val="20"/>
        </w:rPr>
        <w:t xml:space="preserve"> této smlouvy. </w:t>
      </w:r>
      <w:r w:rsidRPr="005202D3">
        <w:rPr>
          <w:rFonts w:asciiTheme="minorHAnsi" w:hAnsiTheme="minorHAnsi" w:cstheme="minorHAnsi"/>
          <w:sz w:val="20"/>
        </w:rPr>
        <w:t>Předání</w:t>
      </w:r>
      <w:r w:rsidR="005202D3" w:rsidRPr="005202D3">
        <w:rPr>
          <w:rFonts w:asciiTheme="minorHAnsi" w:hAnsiTheme="minorHAnsi" w:cstheme="minorHAnsi"/>
          <w:sz w:val="20"/>
        </w:rPr>
        <w:t xml:space="preserve"> </w:t>
      </w:r>
      <w:r w:rsidRPr="005202D3">
        <w:rPr>
          <w:rFonts w:asciiTheme="minorHAnsi" w:hAnsiTheme="minorHAnsi" w:cstheme="minorHAnsi"/>
          <w:sz w:val="20"/>
        </w:rPr>
        <w:t>a převzetí jednotlivých částí díla bude provedeno osobně v sídle objednatele.</w:t>
      </w:r>
    </w:p>
    <w:p w14:paraId="73D55D2D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 předání a převzetí díla (</w:t>
      </w:r>
      <w:r w:rsidR="005C75C0" w:rsidRPr="00484CF9">
        <w:rPr>
          <w:rFonts w:asciiTheme="minorHAnsi" w:hAnsiTheme="minorHAnsi" w:cstheme="minorHAnsi"/>
          <w:sz w:val="20"/>
        </w:rPr>
        <w:t xml:space="preserve">po každé jeho </w:t>
      </w:r>
      <w:r w:rsidRPr="00484CF9">
        <w:rPr>
          <w:rFonts w:asciiTheme="minorHAnsi" w:hAnsiTheme="minorHAnsi" w:cstheme="minorHAnsi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0C9DE1C8" w:rsidR="00A24E42" w:rsidRPr="00484CF9" w:rsidRDefault="00A24E42" w:rsidP="00241C5D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Vlastnické právo k jednotlivým projektovým dokumentacím a dalším dokumentům</w:t>
      </w:r>
      <w:r w:rsidR="00DE5050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a hmotným výstupům, které jsou předmětem díla a nebezpečí škody na nich přechází na objednatele dnem jejich převzetí </w:t>
      </w:r>
      <w:r w:rsidR="00DE5050">
        <w:rPr>
          <w:rFonts w:asciiTheme="minorHAnsi" w:hAnsiTheme="minorHAnsi" w:cstheme="minorHAnsi"/>
          <w:sz w:val="20"/>
        </w:rPr>
        <w:t>o</w:t>
      </w:r>
      <w:r w:rsidRPr="00484CF9">
        <w:rPr>
          <w:rFonts w:asciiTheme="minorHAnsi" w:hAnsiTheme="minorHAnsi" w:cstheme="minorHAnsi"/>
          <w:sz w:val="20"/>
        </w:rPr>
        <w:t>bjednatelem.</w:t>
      </w:r>
    </w:p>
    <w:p w14:paraId="73D55D2F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Provádění díla, práva a povinnosti stran</w:t>
      </w:r>
    </w:p>
    <w:p w14:paraId="73D55D30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zejména povinen:</w:t>
      </w:r>
    </w:p>
    <w:p w14:paraId="73D55D32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na svůj náklad a své nebezpečí,</w:t>
      </w:r>
    </w:p>
    <w:p w14:paraId="73D55D35" w14:textId="77777777" w:rsidR="0046361F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lastRenderedPageBreak/>
        <w:t>účastnit se na základě pozvánky objednatele všech jednání týkajících se díla,</w:t>
      </w:r>
    </w:p>
    <w:p w14:paraId="73D55D36" w14:textId="1170DE26" w:rsidR="00A24E42" w:rsidRPr="00484CF9" w:rsidRDefault="0046361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průběhu zpracování díla projednávat s objednatelem dílo na pravidelných kontrolních dnech, které se budou konat min. 1x za </w:t>
      </w:r>
      <w:r w:rsidR="00684219">
        <w:rPr>
          <w:rFonts w:asciiTheme="minorHAnsi" w:hAnsiTheme="minorHAnsi" w:cstheme="minorHAnsi"/>
          <w:sz w:val="20"/>
          <w:szCs w:val="20"/>
        </w:rPr>
        <w:t xml:space="preserve">měsíc, nedohodnou-li se obě stany na </w:t>
      </w:r>
      <w:r w:rsidR="00241C5D">
        <w:rPr>
          <w:rFonts w:asciiTheme="minorHAnsi" w:hAnsiTheme="minorHAnsi" w:cstheme="minorHAnsi"/>
          <w:sz w:val="20"/>
          <w:szCs w:val="20"/>
        </w:rPr>
        <w:t>jiném</w:t>
      </w:r>
      <w:r w:rsidR="00684219">
        <w:rPr>
          <w:rFonts w:asciiTheme="minorHAnsi" w:hAnsiTheme="minorHAnsi" w:cstheme="minorHAnsi"/>
          <w:sz w:val="20"/>
          <w:szCs w:val="20"/>
        </w:rPr>
        <w:t xml:space="preserve"> časovém rozpětí. Z</w:t>
      </w:r>
      <w:r>
        <w:rPr>
          <w:rFonts w:asciiTheme="minorHAnsi" w:hAnsiTheme="minorHAnsi" w:cstheme="minorHAnsi"/>
          <w:sz w:val="20"/>
          <w:szCs w:val="20"/>
        </w:rPr>
        <w:t xml:space="preserve">pracování díla </w:t>
      </w:r>
      <w:r w:rsidR="00684219">
        <w:rPr>
          <w:rFonts w:asciiTheme="minorHAnsi" w:hAnsiTheme="minorHAnsi" w:cstheme="minorHAnsi"/>
          <w:sz w:val="20"/>
          <w:szCs w:val="20"/>
        </w:rPr>
        <w:t xml:space="preserve">zhotovitel </w:t>
      </w:r>
      <w:r>
        <w:rPr>
          <w:rFonts w:asciiTheme="minorHAnsi" w:hAnsiTheme="minorHAnsi" w:cstheme="minorHAnsi"/>
          <w:sz w:val="20"/>
          <w:szCs w:val="20"/>
        </w:rPr>
        <w:t>ukončí závěrečným projednáním s</w:t>
      </w:r>
      <w:r w:rsidR="00684219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objednatelem</w:t>
      </w:r>
      <w:r w:rsidR="00684219">
        <w:rPr>
          <w:rFonts w:asciiTheme="minorHAnsi" w:hAnsiTheme="minorHAnsi" w:cstheme="minorHAnsi"/>
          <w:sz w:val="20"/>
          <w:szCs w:val="20"/>
        </w:rPr>
        <w:t>. V</w:t>
      </w:r>
      <w:r>
        <w:rPr>
          <w:rFonts w:asciiTheme="minorHAnsi" w:hAnsiTheme="minorHAnsi" w:cstheme="minorHAnsi"/>
          <w:sz w:val="20"/>
          <w:szCs w:val="20"/>
        </w:rPr>
        <w:t xml:space="preserve"> případě, že to bude situace vyžadovat, může objednatel požadovat konání kontrolních dnů 1x za </w:t>
      </w:r>
      <w:r w:rsidR="00684219">
        <w:rPr>
          <w:rFonts w:asciiTheme="minorHAnsi" w:hAnsiTheme="minorHAnsi" w:cstheme="minorHAnsi"/>
          <w:sz w:val="20"/>
          <w:szCs w:val="20"/>
        </w:rPr>
        <w:t>14 dnů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3D55D37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požadovanou dokumentaci,</w:t>
      </w:r>
    </w:p>
    <w:p w14:paraId="73D55D38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078DB9A7" w:rsidR="00E221B3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v průběhu provádění díla dojde ke skutečnostem, které nepředpokládala žádná ze smluvních stran a které mohou mít vliv na cenu, termín plnění, zavazují se zhotovitel i objednatel na tyto skutečnosti písemně upozornit druhou smluvní stranu, včetně písemného návrhu řešení </w:t>
      </w:r>
      <w:r w:rsidR="00A6516B" w:rsidRPr="00484CF9">
        <w:rPr>
          <w:rFonts w:asciiTheme="minorHAnsi" w:hAnsiTheme="minorHAnsi" w:cstheme="minorHAnsi"/>
          <w:sz w:val="20"/>
        </w:rPr>
        <w:t>tak, aby byl naplněn účel této smlouvy.</w:t>
      </w:r>
      <w:r w:rsidR="004F2E82">
        <w:rPr>
          <w:rFonts w:asciiTheme="minorHAnsi" w:hAnsiTheme="minorHAnsi" w:cstheme="minorHAnsi"/>
          <w:sz w:val="20"/>
        </w:rPr>
        <w:t xml:space="preserve"> </w:t>
      </w:r>
    </w:p>
    <w:p w14:paraId="73D55D3B" w14:textId="322170F7" w:rsidR="00A24E42" w:rsidRPr="00E40421" w:rsidRDefault="000E46EB" w:rsidP="00E40421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E40421">
        <w:rPr>
          <w:rFonts w:asciiTheme="minorHAnsi" w:hAnsiTheme="minorHAnsi" w:cstheme="minorHAnsi"/>
          <w:sz w:val="20"/>
        </w:rPr>
        <w:t>Zhotovitel neodpovídá za prodlení s plněním těch částí díla, jejichž ukončení je závislé výhradně na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orgánech veřejné moci, jestliže toto prodlení nezavinil a nemohl předpokládat. Takovým prodlením je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zejména prodlení způsobené překročením zákonné lhůty pro vydání rozhodnutí stavebního úřadu,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nebylo-li zaviněno zhotovitelem. O dobu, po kterou je správní orgán v prodlení, se prodlužují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 xml:space="preserve">příslušné dílčí termíny </w:t>
      </w:r>
      <w:r w:rsidR="002D7815">
        <w:rPr>
          <w:rFonts w:asciiTheme="minorHAnsi" w:hAnsiTheme="minorHAnsi" w:cstheme="minorHAnsi"/>
          <w:sz w:val="20"/>
        </w:rPr>
        <w:t>plnění</w:t>
      </w:r>
      <w:r w:rsidRPr="00E40421">
        <w:rPr>
          <w:rFonts w:asciiTheme="minorHAnsi" w:hAnsiTheme="minorHAnsi" w:cstheme="minorHAnsi"/>
          <w:sz w:val="20"/>
        </w:rPr>
        <w:t xml:space="preserve"> (části díla)</w:t>
      </w:r>
      <w:r w:rsidR="005F4047">
        <w:rPr>
          <w:rFonts w:asciiTheme="minorHAnsi" w:hAnsiTheme="minorHAnsi" w:cstheme="minorHAnsi"/>
          <w:sz w:val="20"/>
        </w:rPr>
        <w:t>, přičemž k</w:t>
      </w:r>
      <w:r w:rsidR="00D85D2C">
        <w:rPr>
          <w:rFonts w:asciiTheme="minorHAnsi" w:hAnsiTheme="minorHAnsi" w:cstheme="minorHAnsi"/>
          <w:sz w:val="20"/>
        </w:rPr>
        <w:t> této skutečnosti</w:t>
      </w:r>
      <w:r w:rsidR="005F4047">
        <w:rPr>
          <w:rFonts w:asciiTheme="minorHAnsi" w:hAnsiTheme="minorHAnsi" w:cstheme="minorHAnsi"/>
          <w:sz w:val="20"/>
        </w:rPr>
        <w:t xml:space="preserve"> není nutné uzavírat dodatek</w:t>
      </w:r>
      <w:r w:rsidR="00E40421">
        <w:rPr>
          <w:rFonts w:asciiTheme="minorHAnsi" w:hAnsiTheme="minorHAnsi" w:cstheme="minorHAnsi"/>
          <w:sz w:val="20"/>
        </w:rPr>
        <w:t>.</w:t>
      </w:r>
    </w:p>
    <w:p w14:paraId="73D55D3C" w14:textId="77777777" w:rsidR="00A24E42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4405BD">
        <w:rPr>
          <w:rFonts w:ascii="Calibri" w:hAnsi="Calibri" w:cs="Calibri"/>
          <w:sz w:val="20"/>
          <w:szCs w:val="20"/>
          <w:lang w:val="fr-FR"/>
        </w:rPr>
        <w:t>.</w:t>
      </w:r>
    </w:p>
    <w:p w14:paraId="73D55D3E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</w:t>
      </w:r>
      <w:r>
        <w:rPr>
          <w:rFonts w:asciiTheme="minorHAnsi" w:hAnsiTheme="minorHAnsi" w:cstheme="minorHAnsi"/>
          <w:sz w:val="20"/>
          <w:szCs w:val="20"/>
        </w:rPr>
        <w:t>latněny v souladu s odstavcem 5</w:t>
      </w:r>
      <w:r w:rsidRPr="004405BD">
        <w:rPr>
          <w:rFonts w:ascii="Calibri" w:hAnsi="Calibri" w:cs="Calibri"/>
          <w:sz w:val="20"/>
          <w:szCs w:val="20"/>
        </w:rPr>
        <w:t xml:space="preserve"> tohoto článku.</w:t>
      </w:r>
    </w:p>
    <w:p w14:paraId="73D55D3F" w14:textId="77777777" w:rsidR="00B5257C" w:rsidRPr="00484CF9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484CF9" w:rsidRDefault="007C1999" w:rsidP="00BC2A77">
      <w:pPr>
        <w:spacing w:before="240"/>
        <w:jc w:val="center"/>
        <w:rPr>
          <w:rFonts w:asciiTheme="minorHAnsi" w:hAnsiTheme="minorHAnsi" w:cstheme="minorHAnsi"/>
          <w:b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VII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Cena díla</w:t>
      </w:r>
    </w:p>
    <w:p w14:paraId="73D55D41" w14:textId="77777777" w:rsidR="007C1999" w:rsidRPr="00484CF9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Cena za provedené dílo je stanovena dohodou smluvních stran a činí (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A6516B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484CF9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  <w:highlight w:val="yellow"/>
        </w:rPr>
        <w:t>cena bez DPH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3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</w:rPr>
        <w:tab/>
      </w:r>
      <w:r w:rsidRPr="00484CF9">
        <w:rPr>
          <w:rFonts w:asciiTheme="minorHAnsi" w:hAnsiTheme="minorHAnsi" w:cstheme="minorHAnsi"/>
          <w:sz w:val="20"/>
          <w:highlight w:val="yellow"/>
        </w:rPr>
        <w:t xml:space="preserve">DPH 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4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ab/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 xml:space="preserve">cena celkem včetně DPH </w:t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ab/>
        <w:t>…………………. Kč</w:t>
      </w:r>
      <w:r w:rsidRPr="00484CF9">
        <w:rPr>
          <w:rFonts w:asciiTheme="minorHAnsi" w:hAnsiTheme="minorHAnsi" w:cstheme="minorHAnsi"/>
          <w:sz w:val="20"/>
        </w:rPr>
        <w:t xml:space="preserve"> </w:t>
      </w:r>
    </w:p>
    <w:p w14:paraId="73D55D45" w14:textId="77777777" w:rsidR="007C1999" w:rsidRPr="00484CF9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slovy: …………………….………………..….. korun českých a ……… haléřů)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6" w14:textId="77777777" w:rsidR="00B5257C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Vyplněná cenová nabídka</w:t>
      </w:r>
      <w:r w:rsidR="006E2293" w:rsidRPr="00484CF9">
        <w:rPr>
          <w:rFonts w:asciiTheme="minorHAnsi" w:hAnsiTheme="minorHAnsi" w:cstheme="minorHAnsi"/>
          <w:sz w:val="20"/>
          <w:szCs w:val="20"/>
        </w:rPr>
        <w:t>, která obsahuje cenu za jednotlivé části díla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 přílohou č. 1 této smlouvy.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7" w14:textId="33518280" w:rsidR="0046361F" w:rsidRPr="0046361F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>
        <w:rPr>
          <w:rFonts w:asciiTheme="minorHAnsi" w:hAnsiTheme="minorHAnsi" w:cstheme="minorHAnsi"/>
          <w:bCs/>
          <w:sz w:val="20"/>
          <w:szCs w:val="20"/>
        </w:rPr>
        <w:t xml:space="preserve">Zhotovitel 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 w:rsidRPr="0046361F">
        <w:rPr>
          <w:rFonts w:asciiTheme="minorHAnsi" w:hAnsiTheme="minorHAnsi" w:cstheme="minorHAnsi"/>
          <w:bCs/>
          <w:sz w:val="20"/>
          <w:szCs w:val="20"/>
          <w:highlight w:val="yellow"/>
        </w:rPr>
        <w:t>………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(je/není) plátcem DPH.  </w:t>
      </w:r>
      <w:r w:rsidR="0046361F"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2.</w:t>
      </w:r>
      <w:r w:rsidR="00B5257C" w:rsidRPr="00484CF9">
        <w:rPr>
          <w:rFonts w:asciiTheme="minorHAnsi" w:hAnsiTheme="minorHAnsi" w:cstheme="minorHAnsi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484CF9">
        <w:rPr>
          <w:rFonts w:asciiTheme="minorHAnsi" w:hAnsiTheme="minorHAnsi" w:cstheme="minorHAnsi"/>
          <w:sz w:val="20"/>
          <w:szCs w:val="20"/>
        </w:rPr>
        <w:t>užby včetně telefonu, fotodokum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484CF9">
        <w:rPr>
          <w:rFonts w:asciiTheme="minorHAnsi" w:hAnsiTheme="minorHAnsi" w:cstheme="minorHAnsi"/>
          <w:sz w:val="20"/>
          <w:szCs w:val="20"/>
        </w:rPr>
        <w:t xml:space="preserve">(vyjma paré nebo částí </w:t>
      </w:r>
      <w:r w:rsidR="008D1C5F" w:rsidRPr="00484CF9">
        <w:rPr>
          <w:rFonts w:asciiTheme="minorHAnsi" w:hAnsiTheme="minorHAnsi" w:cstheme="minorHAnsi"/>
          <w:sz w:val="20"/>
        </w:rPr>
        <w:t>dokumentace, které bude potřeba pro zajištění vyjádření a stanovisek pro stavební úřad, dále pak dokumentace potřebné pro stavební úřad)</w:t>
      </w:r>
      <w:r w:rsidR="008D1C5F" w:rsidRPr="00484CF9">
        <w:rPr>
          <w:rFonts w:asciiTheme="minorHAnsi" w:hAnsiTheme="minorHAnsi" w:cstheme="minorHAnsi"/>
          <w:color w:val="FF0000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nebo správní poplatky. </w:t>
      </w:r>
    </w:p>
    <w:p w14:paraId="73D55D49" w14:textId="77777777" w:rsidR="00B5257C" w:rsidRPr="00484CF9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3.</w:t>
      </w:r>
      <w:r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t>4.</w:t>
      </w:r>
      <w:r w:rsidR="00B5257C" w:rsidRPr="00484CF9">
        <w:rPr>
          <w:rFonts w:asciiTheme="minorHAnsi" w:hAnsiTheme="minorHAnsi" w:cstheme="minorHAnsi"/>
          <w:sz w:val="20"/>
        </w:rPr>
        <w:tab/>
        <w:t xml:space="preserve">     </w:t>
      </w:r>
      <w:r w:rsidR="00A24E42" w:rsidRPr="00484CF9">
        <w:rPr>
          <w:rFonts w:asciiTheme="minorHAnsi" w:hAnsiTheme="minorHAnsi" w:cstheme="minorHAnsi"/>
          <w:sz w:val="20"/>
          <w:szCs w:val="20"/>
        </w:rPr>
        <w:t>Cena díla uvedená v odst. 1 tohoto článku je cenou nejvýše přípustnou a nelze ji překročit.</w:t>
      </w:r>
    </w:p>
    <w:p w14:paraId="73D55D4B" w14:textId="7A837749" w:rsidR="00A24E42" w:rsidRPr="00484CF9" w:rsidRDefault="007C1999" w:rsidP="00A673A6">
      <w:pPr>
        <w:pStyle w:val="OdstavecSmlouvy"/>
        <w:keepNext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5.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Nebude-li některá část díla v důsledku sjednaných méněprací provedena, bude cena</w:t>
      </w:r>
      <w:r w:rsidR="00241C5D"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>za dílo snížena, a to odečtením veškerých nákladů na p</w:t>
      </w:r>
      <w:r w:rsidR="00241C5D">
        <w:rPr>
          <w:rFonts w:asciiTheme="minorHAnsi" w:hAnsiTheme="minorHAnsi" w:cstheme="minorHAnsi"/>
          <w:sz w:val="20"/>
        </w:rPr>
        <w:t xml:space="preserve">rovedení těch částí díla, které </w:t>
      </w:r>
      <w:r w:rsidR="00A24E42" w:rsidRPr="00484CF9">
        <w:rPr>
          <w:rFonts w:asciiTheme="minorHAnsi" w:hAnsiTheme="minorHAnsi" w:cstheme="minorHAnsi"/>
          <w:sz w:val="20"/>
        </w:rPr>
        <w:t xml:space="preserve">v  rámci méněprací nebudou provedeny. </w:t>
      </w:r>
    </w:p>
    <w:p w14:paraId="73D55D4C" w14:textId="77777777" w:rsidR="00A24E42" w:rsidRPr="00484CF9" w:rsidRDefault="007C1999" w:rsidP="00235703">
      <w:pPr>
        <w:pStyle w:val="OdstavecSmlouvy"/>
        <w:keepNext/>
        <w:spacing w:after="0"/>
        <w:ind w:left="426" w:hanging="426"/>
        <w:rPr>
          <w:rFonts w:asciiTheme="minorHAnsi" w:hAnsiTheme="minorHAnsi" w:cstheme="minorHAnsi"/>
          <w:iCs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6. 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484CF9" w:rsidRDefault="00A24E42" w:rsidP="00C80B57">
      <w:pPr>
        <w:rPr>
          <w:rFonts w:asciiTheme="minorHAnsi" w:hAnsiTheme="minorHAnsi" w:cstheme="minorHAnsi"/>
        </w:rPr>
      </w:pPr>
    </w:p>
    <w:p w14:paraId="73D55D4E" w14:textId="77777777" w:rsidR="00A24E42" w:rsidRPr="00484CF9" w:rsidRDefault="00B5257C" w:rsidP="00B5257C">
      <w:pPr>
        <w:pStyle w:val="slolnkuSmlouvy"/>
        <w:spacing w:before="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VIII - </w:t>
      </w:r>
      <w:r w:rsidR="00A24E42" w:rsidRPr="00484CF9">
        <w:rPr>
          <w:rFonts w:asciiTheme="minorHAnsi" w:hAnsiTheme="minorHAnsi" w:cstheme="minorHAnsi"/>
          <w:sz w:val="20"/>
        </w:rPr>
        <w:t>Platební podmínky</w:t>
      </w:r>
    </w:p>
    <w:p w14:paraId="73D55D4F" w14:textId="40AF1E51" w:rsidR="00A24E42" w:rsidRPr="00484CF9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 xml:space="preserve">Zálohy </w:t>
      </w:r>
      <w:r w:rsidR="009A398A" w:rsidRPr="00484CF9">
        <w:rPr>
          <w:rFonts w:asciiTheme="minorHAnsi" w:hAnsiTheme="minorHAnsi" w:cstheme="minorHAnsi"/>
          <w:sz w:val="20"/>
        </w:rPr>
        <w:t>platby nebudou poskytovány</w:t>
      </w:r>
      <w:r w:rsidR="00A24E42" w:rsidRPr="00484CF9">
        <w:rPr>
          <w:rFonts w:asciiTheme="minorHAnsi" w:hAnsiTheme="minorHAnsi" w:cstheme="minorHAnsi"/>
          <w:sz w:val="20"/>
        </w:rPr>
        <w:t xml:space="preserve">. </w:t>
      </w:r>
    </w:p>
    <w:p w14:paraId="73D55D50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142C1AC4" w:rsidR="00220E44" w:rsidRPr="00484CF9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budou poskytovány ve lhůtě splatnosti ve sjednané výši dle přílohy č.</w:t>
      </w:r>
      <w:r w:rsidR="00C427D7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>1 této smlouvy vždy po ukončení dané části díla dle předmětu smlouvy o dílo. Ukončení těchto částí je dáno</w:t>
      </w:r>
      <w:r w:rsidR="00220E44" w:rsidRPr="00484CF9">
        <w:rPr>
          <w:rFonts w:asciiTheme="minorHAnsi" w:hAnsiTheme="minorHAnsi" w:cstheme="minorHAnsi"/>
          <w:sz w:val="20"/>
        </w:rPr>
        <w:t>:</w:t>
      </w:r>
    </w:p>
    <w:p w14:paraId="73D55D52" w14:textId="508AA6C4" w:rsidR="003F338B" w:rsidRPr="001D40F7" w:rsidRDefault="00040B18" w:rsidP="003F338B">
      <w:pPr>
        <w:pStyle w:val="OdstavecSmlouvy"/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>a</w:t>
      </w:r>
      <w:r w:rsidR="005C75C0" w:rsidRPr="005F7C8C">
        <w:rPr>
          <w:rFonts w:asciiTheme="minorHAnsi" w:hAnsiTheme="minorHAnsi" w:cstheme="minorHAnsi"/>
          <w:sz w:val="20"/>
        </w:rPr>
        <w:t xml:space="preserve">) </w:t>
      </w:r>
      <w:r w:rsidR="0046361F" w:rsidRPr="001D40F7">
        <w:rPr>
          <w:rFonts w:asciiTheme="minorHAnsi" w:hAnsiTheme="minorHAnsi" w:cstheme="minorHAnsi"/>
          <w:sz w:val="20"/>
        </w:rPr>
        <w:t xml:space="preserve">podáním žádosti o vydání </w:t>
      </w:r>
      <w:r w:rsidR="00763B92" w:rsidRPr="001D40F7">
        <w:rPr>
          <w:rFonts w:ascii="Calibri" w:hAnsi="Calibri" w:cs="Calibri"/>
          <w:sz w:val="20"/>
        </w:rPr>
        <w:t xml:space="preserve">společného povolení </w:t>
      </w:r>
      <w:r w:rsidRPr="001D40F7">
        <w:rPr>
          <w:rFonts w:asciiTheme="minorHAnsi" w:hAnsiTheme="minorHAnsi" w:cstheme="minorHAnsi"/>
          <w:sz w:val="20"/>
        </w:rPr>
        <w:t>(</w:t>
      </w:r>
      <w:r w:rsidR="00AF660E">
        <w:rPr>
          <w:rFonts w:asciiTheme="minorHAnsi" w:hAnsiTheme="minorHAnsi" w:cstheme="minorHAnsi"/>
          <w:sz w:val="20"/>
        </w:rPr>
        <w:t xml:space="preserve">50 % </w:t>
      </w:r>
      <w:r w:rsidR="006645D8">
        <w:rPr>
          <w:rFonts w:asciiTheme="minorHAnsi" w:hAnsiTheme="minorHAnsi" w:cstheme="minorHAnsi"/>
          <w:sz w:val="20"/>
        </w:rPr>
        <w:t xml:space="preserve">z </w:t>
      </w:r>
      <w:r w:rsidRPr="001D40F7">
        <w:rPr>
          <w:rFonts w:asciiTheme="minorHAnsi" w:hAnsiTheme="minorHAnsi" w:cstheme="minorHAnsi"/>
          <w:sz w:val="20"/>
        </w:rPr>
        <w:t>položky</w:t>
      </w:r>
      <w:r w:rsidR="00FF1BDB" w:rsidRPr="001D40F7">
        <w:rPr>
          <w:rFonts w:asciiTheme="minorHAnsi" w:hAnsiTheme="minorHAnsi" w:cstheme="minorHAnsi"/>
          <w:sz w:val="20"/>
        </w:rPr>
        <w:t xml:space="preserve"> č.</w:t>
      </w:r>
      <w:r w:rsidR="005C75C0" w:rsidRPr="001D40F7">
        <w:rPr>
          <w:rFonts w:asciiTheme="minorHAnsi" w:hAnsiTheme="minorHAnsi" w:cstheme="minorHAnsi"/>
          <w:sz w:val="20"/>
        </w:rPr>
        <w:t xml:space="preserve"> </w:t>
      </w:r>
      <w:r w:rsidR="002E2DFA" w:rsidRPr="001D40F7">
        <w:rPr>
          <w:rFonts w:asciiTheme="minorHAnsi" w:hAnsiTheme="minorHAnsi" w:cstheme="minorHAnsi"/>
          <w:sz w:val="20"/>
        </w:rPr>
        <w:t>1</w:t>
      </w:r>
      <w:r w:rsidR="00BE6CAA" w:rsidRPr="001D40F7">
        <w:rPr>
          <w:rFonts w:asciiTheme="minorHAnsi" w:hAnsiTheme="minorHAnsi" w:cstheme="minorHAnsi"/>
          <w:sz w:val="20"/>
        </w:rPr>
        <w:t>)</w:t>
      </w:r>
      <w:r w:rsidR="009438F4" w:rsidRPr="001D40F7">
        <w:rPr>
          <w:rFonts w:asciiTheme="minorHAnsi" w:hAnsiTheme="minorHAnsi" w:cstheme="minorHAnsi"/>
          <w:sz w:val="20"/>
        </w:rPr>
        <w:t>,</w:t>
      </w:r>
      <w:r w:rsidR="00B45202" w:rsidRPr="001D40F7">
        <w:rPr>
          <w:rFonts w:asciiTheme="minorHAnsi" w:hAnsiTheme="minorHAnsi" w:cstheme="minorHAnsi"/>
          <w:sz w:val="20"/>
        </w:rPr>
        <w:t xml:space="preserve"> </w:t>
      </w:r>
    </w:p>
    <w:p w14:paraId="73D55D53" w14:textId="123F4D2C" w:rsidR="00220E44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1D40F7">
        <w:rPr>
          <w:rFonts w:asciiTheme="minorHAnsi" w:hAnsiTheme="minorHAnsi" w:cstheme="minorHAnsi"/>
          <w:sz w:val="20"/>
        </w:rPr>
        <w:t xml:space="preserve">b) předáním pravomocného </w:t>
      </w:r>
      <w:r w:rsidR="002746D3" w:rsidRPr="001D40F7">
        <w:rPr>
          <w:rFonts w:asciiTheme="minorHAnsi" w:hAnsiTheme="minorHAnsi" w:cstheme="minorHAnsi"/>
          <w:sz w:val="20"/>
        </w:rPr>
        <w:t>rozhodnutí o</w:t>
      </w:r>
      <w:r w:rsidRPr="001D40F7">
        <w:rPr>
          <w:rFonts w:asciiTheme="minorHAnsi" w:hAnsiTheme="minorHAnsi" w:cstheme="minorHAnsi"/>
          <w:sz w:val="20"/>
        </w:rPr>
        <w:t xml:space="preserve"> povolení</w:t>
      </w:r>
      <w:r w:rsidR="002746D3" w:rsidRPr="001D40F7">
        <w:rPr>
          <w:rFonts w:asciiTheme="minorHAnsi" w:hAnsiTheme="minorHAnsi" w:cstheme="minorHAnsi"/>
          <w:sz w:val="20"/>
        </w:rPr>
        <w:t xml:space="preserve"> stavby</w:t>
      </w:r>
      <w:r w:rsidRPr="001D40F7">
        <w:rPr>
          <w:rFonts w:asciiTheme="minorHAnsi" w:hAnsiTheme="minorHAnsi" w:cstheme="minorHAnsi"/>
          <w:sz w:val="20"/>
        </w:rPr>
        <w:t xml:space="preserve"> (</w:t>
      </w:r>
      <w:r w:rsidR="00AF660E">
        <w:rPr>
          <w:rFonts w:asciiTheme="minorHAnsi" w:hAnsiTheme="minorHAnsi" w:cstheme="minorHAnsi"/>
          <w:sz w:val="20"/>
        </w:rPr>
        <w:t xml:space="preserve">50 % </w:t>
      </w:r>
      <w:r w:rsidR="006645D8">
        <w:rPr>
          <w:rFonts w:asciiTheme="minorHAnsi" w:hAnsiTheme="minorHAnsi" w:cstheme="minorHAnsi"/>
          <w:sz w:val="20"/>
        </w:rPr>
        <w:t xml:space="preserve">z </w:t>
      </w:r>
      <w:r w:rsidRPr="001D40F7">
        <w:rPr>
          <w:rFonts w:asciiTheme="minorHAnsi" w:hAnsiTheme="minorHAnsi" w:cstheme="minorHAnsi"/>
          <w:sz w:val="20"/>
        </w:rPr>
        <w:t>položk</w:t>
      </w:r>
      <w:r w:rsidR="006645D8">
        <w:rPr>
          <w:rFonts w:asciiTheme="minorHAnsi" w:hAnsiTheme="minorHAnsi" w:cstheme="minorHAnsi"/>
          <w:sz w:val="20"/>
        </w:rPr>
        <w:t>y</w:t>
      </w:r>
      <w:r w:rsidRPr="001D40F7">
        <w:rPr>
          <w:rFonts w:asciiTheme="minorHAnsi" w:hAnsiTheme="minorHAnsi" w:cstheme="minorHAnsi"/>
          <w:sz w:val="20"/>
        </w:rPr>
        <w:t xml:space="preserve"> č. </w:t>
      </w:r>
      <w:r w:rsidR="00AF660E">
        <w:rPr>
          <w:rFonts w:asciiTheme="minorHAnsi" w:hAnsiTheme="minorHAnsi" w:cstheme="minorHAnsi"/>
          <w:sz w:val="20"/>
        </w:rPr>
        <w:t>1</w:t>
      </w:r>
      <w:r w:rsidRPr="001D40F7">
        <w:rPr>
          <w:rFonts w:asciiTheme="minorHAnsi" w:hAnsiTheme="minorHAnsi" w:cstheme="minorHAnsi"/>
          <w:sz w:val="20"/>
        </w:rPr>
        <w:t>),</w:t>
      </w:r>
      <w:r w:rsidR="009438F4" w:rsidRPr="001D40F7">
        <w:rPr>
          <w:rFonts w:asciiTheme="minorHAnsi" w:hAnsiTheme="minorHAnsi" w:cstheme="minorHAnsi"/>
          <w:sz w:val="20"/>
        </w:rPr>
        <w:t xml:space="preserve"> </w:t>
      </w:r>
    </w:p>
    <w:p w14:paraId="4FCDAD23" w14:textId="0657B3E2" w:rsidR="00AF660E" w:rsidRPr="001D40F7" w:rsidRDefault="00AF660E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c) předáním dokumentace pro provádění stavby (položka č. </w:t>
      </w:r>
      <w:r w:rsidR="00F00AFC">
        <w:rPr>
          <w:rFonts w:asciiTheme="minorHAnsi" w:hAnsiTheme="minorHAnsi" w:cstheme="minorHAnsi"/>
          <w:sz w:val="20"/>
        </w:rPr>
        <w:t xml:space="preserve">2 a </w:t>
      </w:r>
      <w:r>
        <w:rPr>
          <w:rFonts w:asciiTheme="minorHAnsi" w:hAnsiTheme="minorHAnsi" w:cstheme="minorHAnsi"/>
          <w:sz w:val="20"/>
        </w:rPr>
        <w:t>3)</w:t>
      </w:r>
      <w:r w:rsidR="00F00AFC">
        <w:rPr>
          <w:rFonts w:asciiTheme="minorHAnsi" w:hAnsiTheme="minorHAnsi" w:cstheme="minorHAnsi"/>
          <w:sz w:val="20"/>
        </w:rPr>
        <w:t>,</w:t>
      </w:r>
    </w:p>
    <w:p w14:paraId="73D55D55" w14:textId="290A08D4" w:rsidR="009438F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1D40F7">
        <w:rPr>
          <w:rFonts w:asciiTheme="minorHAnsi" w:hAnsiTheme="minorHAnsi" w:cstheme="minorHAnsi"/>
          <w:sz w:val="20"/>
        </w:rPr>
        <w:t>c</w:t>
      </w:r>
      <w:r w:rsidR="00220E44" w:rsidRPr="001D40F7">
        <w:rPr>
          <w:rFonts w:asciiTheme="minorHAnsi" w:hAnsiTheme="minorHAnsi" w:cstheme="minorHAnsi"/>
          <w:sz w:val="20"/>
        </w:rPr>
        <w:t xml:space="preserve">) </w:t>
      </w:r>
      <w:r w:rsidR="009438F4" w:rsidRPr="001D40F7">
        <w:rPr>
          <w:rFonts w:asciiTheme="minorHAnsi" w:hAnsiTheme="minorHAnsi" w:cstheme="minorHAnsi"/>
          <w:sz w:val="20"/>
        </w:rPr>
        <w:t>ukončením autorského dozoru</w:t>
      </w:r>
      <w:r w:rsidRPr="001D40F7">
        <w:rPr>
          <w:rFonts w:asciiTheme="minorHAnsi" w:hAnsiTheme="minorHAnsi" w:cstheme="minorHAnsi"/>
          <w:sz w:val="20"/>
        </w:rPr>
        <w:t xml:space="preserve"> (položka</w:t>
      </w:r>
      <w:r w:rsidRPr="005F7C8C">
        <w:rPr>
          <w:rFonts w:asciiTheme="minorHAnsi" w:hAnsiTheme="minorHAnsi" w:cstheme="minorHAnsi"/>
          <w:sz w:val="20"/>
        </w:rPr>
        <w:t xml:space="preserve"> č.</w:t>
      </w:r>
      <w:r w:rsidR="00AF660E">
        <w:rPr>
          <w:rFonts w:asciiTheme="minorHAnsi" w:hAnsiTheme="minorHAnsi" w:cstheme="minorHAnsi"/>
          <w:sz w:val="20"/>
        </w:rPr>
        <w:t xml:space="preserve"> 4</w:t>
      </w:r>
      <w:r w:rsidR="00FF1BDB" w:rsidRPr="005F7C8C">
        <w:rPr>
          <w:rFonts w:asciiTheme="minorHAnsi" w:hAnsiTheme="minorHAnsi" w:cstheme="minorHAnsi"/>
          <w:sz w:val="20"/>
        </w:rPr>
        <w:t>)</w:t>
      </w:r>
      <w:r w:rsidR="009438F4" w:rsidRPr="005F7C8C">
        <w:rPr>
          <w:rFonts w:asciiTheme="minorHAnsi" w:hAnsiTheme="minorHAnsi" w:cstheme="minorHAnsi"/>
          <w:sz w:val="20"/>
        </w:rPr>
        <w:t xml:space="preserve">. </w:t>
      </w:r>
    </w:p>
    <w:p w14:paraId="73D55D56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484CF9">
        <w:rPr>
          <w:rFonts w:asciiTheme="minorHAnsi" w:hAnsiTheme="minorHAnsi" w:cstheme="minorHAnsi"/>
          <w:sz w:val="20"/>
        </w:rPr>
        <w:t xml:space="preserve">§ 435 občanského zákoníku </w:t>
      </w:r>
      <w:r w:rsidRPr="00484CF9">
        <w:rPr>
          <w:rFonts w:asciiTheme="minorHAnsi" w:hAnsiTheme="minorHAnsi" w:cstheme="minorHAnsi"/>
          <w:sz w:val="20"/>
        </w:rPr>
        <w:t xml:space="preserve">(dále jen „faktura“). </w:t>
      </w:r>
    </w:p>
    <w:p w14:paraId="73D55D57" w14:textId="06B04E2E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Fakturu může zhotovitel vystavit pouze na základě předávacího protokolu dle čl. V </w:t>
      </w:r>
      <w:r w:rsidRPr="00484CF9">
        <w:rPr>
          <w:rFonts w:asciiTheme="minorHAnsi" w:hAnsiTheme="minorHAnsi" w:cstheme="minorHAnsi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C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IX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Odpovědnost za škodu</w:t>
      </w:r>
    </w:p>
    <w:p w14:paraId="73D55D5D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učinit veškerá opatření potřebná k odvrácení škody nebo k jejímu zmírnění.</w:t>
      </w:r>
    </w:p>
    <w:p w14:paraId="73D55D61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Cs/>
          <w:sz w:val="20"/>
        </w:rPr>
        <w:lastRenderedPageBreak/>
        <w:t xml:space="preserve">Článek </w:t>
      </w:r>
      <w:r w:rsidR="00A24E42" w:rsidRPr="00484CF9">
        <w:rPr>
          <w:rFonts w:asciiTheme="minorHAnsi" w:hAnsiTheme="minorHAnsi" w:cstheme="minorHAnsi"/>
          <w:bCs/>
          <w:sz w:val="20"/>
        </w:rPr>
        <w:t>X</w:t>
      </w:r>
      <w:r w:rsidRPr="00484CF9">
        <w:rPr>
          <w:rFonts w:asciiTheme="minorHAnsi" w:hAnsiTheme="minorHAnsi" w:cstheme="minorHAnsi"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Vady díla</w:t>
      </w:r>
    </w:p>
    <w:p w14:paraId="73D55D62" w14:textId="505D4D8D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provést předmět smlouvy ve sjednaném rozsahu, bezvadně a včas, v souladu se zadáním a v soulad</w:t>
      </w:r>
      <w:r w:rsidR="000070E7">
        <w:rPr>
          <w:rFonts w:asciiTheme="minorHAnsi" w:hAnsiTheme="minorHAnsi" w:cstheme="minorHAnsi"/>
          <w:sz w:val="20"/>
        </w:rPr>
        <w:t xml:space="preserve">u s platnými právními předpisy a </w:t>
      </w:r>
      <w:r w:rsidRPr="00484CF9">
        <w:rPr>
          <w:rFonts w:asciiTheme="minorHAnsi" w:hAnsiTheme="minorHAnsi" w:cstheme="minorHAnsi"/>
          <w:sz w:val="20"/>
        </w:rPr>
        <w:t>právními normami.</w:t>
      </w:r>
    </w:p>
    <w:p w14:paraId="73D55D63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C30C55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C30C55">
        <w:rPr>
          <w:rFonts w:asciiTheme="minorHAnsi" w:hAnsiTheme="minorHAnsi" w:cstheme="minorHAnsi"/>
          <w:sz w:val="20"/>
        </w:rPr>
        <w:t>zákona č. 134/2016 Sb., o zadávání veřejných zakázek</w:t>
      </w:r>
      <w:r w:rsidRPr="00C30C55">
        <w:rPr>
          <w:rFonts w:asciiTheme="minorHAnsi" w:hAnsiTheme="minorHAnsi" w:cstheme="minorHAnsi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>Součinnost objednatele, zejména informování zhotovitele bez zbytečného odkladu o důležitých</w:t>
      </w:r>
      <w:r w:rsidRPr="00484CF9">
        <w:rPr>
          <w:rFonts w:asciiTheme="minorHAnsi" w:hAnsiTheme="minorHAnsi" w:cstheme="minorHAnsi"/>
          <w:sz w:val="20"/>
        </w:rPr>
        <w:t xml:space="preserve">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484CF9">
        <w:rPr>
          <w:rFonts w:asciiTheme="minorHAnsi" w:hAnsiTheme="minorHAnsi" w:cstheme="minorHAnsi"/>
          <w:sz w:val="20"/>
        </w:rPr>
        <w:t xml:space="preserve"> Při zjištěných vadách DP</w:t>
      </w:r>
      <w:r w:rsidRPr="00484CF9">
        <w:rPr>
          <w:rFonts w:asciiTheme="minorHAnsi" w:hAnsiTheme="minorHAnsi" w:cstheme="minorHAnsi"/>
          <w:sz w:val="20"/>
        </w:rPr>
        <w:t>S v době průběhu zadávacího řízení je povinen zhotovitel řešit vady PD okamžitě tak, aby mohl objednatel jakožto zadavatel sp</w:t>
      </w:r>
      <w:r w:rsidR="004405BD">
        <w:rPr>
          <w:rFonts w:asciiTheme="minorHAnsi" w:hAnsiTheme="minorHAnsi" w:cstheme="minorHAnsi"/>
          <w:sz w:val="20"/>
        </w:rPr>
        <w:t xml:space="preserve">lnit své povinnosti dle zákona </w:t>
      </w:r>
      <w:r w:rsidR="004405BD" w:rsidRPr="00484CF9">
        <w:rPr>
          <w:rFonts w:asciiTheme="minorHAnsi" w:hAnsiTheme="minorHAnsi" w:cstheme="minorHAnsi"/>
          <w:sz w:val="20"/>
        </w:rPr>
        <w:t xml:space="preserve">č. 134/2016 </w:t>
      </w:r>
      <w:r w:rsidRPr="00484CF9">
        <w:rPr>
          <w:rFonts w:asciiTheme="minorHAnsi" w:hAnsiTheme="minorHAnsi" w:cstheme="minorHAnsi"/>
          <w:sz w:val="20"/>
        </w:rPr>
        <w:t>Sb. Na dotazy</w:t>
      </w:r>
      <w:r w:rsidR="00285E7C" w:rsidRPr="00484CF9">
        <w:rPr>
          <w:rFonts w:asciiTheme="minorHAnsi" w:hAnsiTheme="minorHAnsi" w:cstheme="minorHAnsi"/>
          <w:sz w:val="20"/>
        </w:rPr>
        <w:t xml:space="preserve"> objednatele vztahující se k DP</w:t>
      </w:r>
      <w:r w:rsidRPr="00484CF9">
        <w:rPr>
          <w:rFonts w:asciiTheme="minorHAnsi" w:hAnsiTheme="minorHAnsi" w:cstheme="minorHAnsi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484CF9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484CF9" w:rsidRDefault="00285E7C" w:rsidP="00235703">
      <w:pPr>
        <w:pStyle w:val="OdstavecSmlouvy"/>
        <w:spacing w:before="240"/>
        <w:jc w:val="center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bCs/>
          <w:sz w:val="20"/>
        </w:rPr>
        <w:t>XI</w:t>
      </w:r>
      <w:r w:rsidRPr="00484CF9">
        <w:rPr>
          <w:rFonts w:asciiTheme="minorHAnsi" w:hAnsiTheme="minorHAnsi" w:cstheme="minorHAnsi"/>
          <w:b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</w:rPr>
        <w:t>Smluvní pokuty</w:t>
      </w:r>
    </w:p>
    <w:p w14:paraId="73D55D6C" w14:textId="6C093F6C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Nepředá-li zhotovitel kteroukoliv část díla ve lhůtě dle čl. IV. odst. </w:t>
      </w:r>
      <w:r w:rsidR="00235703" w:rsidRPr="00484CF9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405BD" w:rsidRPr="004405BD">
        <w:rPr>
          <w:rFonts w:ascii="Calibri" w:hAnsi="Calibri" w:cs="Calibri"/>
          <w:sz w:val="20"/>
        </w:rPr>
        <w:t xml:space="preserve">ve výši 0,2 % z ceny </w:t>
      </w:r>
      <w:r w:rsidR="004405BD">
        <w:rPr>
          <w:rFonts w:asciiTheme="minorHAnsi" w:hAnsiTheme="minorHAnsi" w:cstheme="minorHAnsi"/>
          <w:sz w:val="20"/>
        </w:rPr>
        <w:t>části předmětného díla</w:t>
      </w:r>
      <w:r w:rsidR="004405BD" w:rsidRPr="004405BD">
        <w:rPr>
          <w:rFonts w:ascii="Calibri" w:hAnsi="Calibri" w:cs="Calibri"/>
          <w:sz w:val="20"/>
        </w:rPr>
        <w:t xml:space="preserve"> bez DPH</w:t>
      </w:r>
      <w:r w:rsidR="004405BD">
        <w:rPr>
          <w:rFonts w:asciiTheme="minorHAnsi" w:hAnsiTheme="minorHAnsi" w:cstheme="minorHAnsi"/>
          <w:sz w:val="20"/>
        </w:rPr>
        <w:t>, s jejímž předáním je zhotovitel v prodlení</w:t>
      </w:r>
      <w:r w:rsidR="004405BD" w:rsidRPr="004405BD">
        <w:rPr>
          <w:rFonts w:ascii="Calibri" w:hAnsi="Calibri" w:cs="Calibri"/>
          <w:sz w:val="20"/>
        </w:rPr>
        <w:t xml:space="preserve">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>
        <w:rPr>
          <w:rFonts w:ascii="Calibri" w:hAnsi="Calibri" w:cs="Calibri"/>
          <w:sz w:val="20"/>
        </w:rPr>
        <w:t>5</w:t>
      </w:r>
      <w:r w:rsidR="004405BD" w:rsidRPr="004405BD">
        <w:rPr>
          <w:rFonts w:ascii="Calibri" w:hAnsi="Calibri" w:cs="Calibri"/>
          <w:sz w:val="20"/>
        </w:rPr>
        <w:t>0</w:t>
      </w:r>
      <w:r w:rsidR="00A72086">
        <w:rPr>
          <w:rFonts w:ascii="Calibri" w:hAnsi="Calibri" w:cs="Calibri"/>
          <w:sz w:val="20"/>
        </w:rPr>
        <w:t>.</w:t>
      </w:r>
      <w:r w:rsidR="004405BD" w:rsidRPr="004405BD">
        <w:rPr>
          <w:rFonts w:ascii="Calibri" w:hAnsi="Calibri" w:cs="Calibri"/>
          <w:sz w:val="20"/>
        </w:rPr>
        <w:t>000</w:t>
      </w:r>
      <w:r w:rsidR="00A72086">
        <w:rPr>
          <w:rFonts w:ascii="Calibri" w:hAnsi="Calibri" w:cs="Calibri"/>
          <w:sz w:val="20"/>
        </w:rPr>
        <w:t>,-</w:t>
      </w:r>
      <w:r w:rsidR="004405BD" w:rsidRPr="004405BD">
        <w:rPr>
          <w:rFonts w:ascii="Calibri" w:hAnsi="Calibri" w:cs="Calibri"/>
          <w:sz w:val="20"/>
        </w:rPr>
        <w:t xml:space="preserve"> Kč.</w:t>
      </w:r>
    </w:p>
    <w:p w14:paraId="73D55D6D" w14:textId="77777777" w:rsidR="0048793C" w:rsidRPr="0048793C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Arial"/>
          <w:sz w:val="20"/>
          <w:szCs w:val="20"/>
        </w:rPr>
      </w:pPr>
      <w:r w:rsidRPr="0048793C">
        <w:rPr>
          <w:rFonts w:ascii="Calibri" w:hAnsi="Calibri" w:cs="Arial"/>
          <w:sz w:val="20"/>
          <w:szCs w:val="20"/>
        </w:rPr>
        <w:t>Při nedodržení sjednaného termínu splatnosti faktury objednatelem se stanovuje smluvní pokuta ve výši 0,05 % z </w:t>
      </w:r>
      <w:r w:rsidRPr="004405BD">
        <w:rPr>
          <w:rFonts w:ascii="Calibri" w:hAnsi="Calibri" w:cs="Calibri"/>
          <w:sz w:val="20"/>
        </w:rPr>
        <w:t xml:space="preserve">ceny </w:t>
      </w:r>
      <w:r>
        <w:rPr>
          <w:rFonts w:asciiTheme="minorHAnsi" w:hAnsiTheme="minorHAnsi" w:cstheme="minorHAnsi"/>
          <w:sz w:val="20"/>
        </w:rPr>
        <w:t>části předmětného díla</w:t>
      </w:r>
      <w:r w:rsidRPr="004405BD">
        <w:rPr>
          <w:rFonts w:ascii="Calibri" w:hAnsi="Calibri" w:cs="Calibri"/>
          <w:sz w:val="20"/>
        </w:rPr>
        <w:t xml:space="preserve"> bez DPH</w:t>
      </w:r>
      <w:r w:rsidRPr="0048793C">
        <w:rPr>
          <w:rFonts w:ascii="Calibri" w:hAnsi="Calibri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61ACE20C" w:rsidR="00A24E42" w:rsidRPr="00484CF9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zhotovitel neodstraní vadu díla v</w:t>
      </w:r>
      <w:r w:rsidR="00235703" w:rsidRPr="00484CF9">
        <w:rPr>
          <w:rFonts w:asciiTheme="minorHAnsi" w:hAnsiTheme="minorHAnsi" w:cstheme="minorHAnsi"/>
          <w:sz w:val="20"/>
        </w:rPr>
        <w:t>e lhůtě uvedené v čl. X. odst. 6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8793C">
        <w:rPr>
          <w:rFonts w:asciiTheme="minorHAnsi" w:hAnsiTheme="minorHAnsi" w:cstheme="minorHAnsi"/>
          <w:sz w:val="20"/>
        </w:rPr>
        <w:t>5</w:t>
      </w:r>
      <w:r w:rsidRPr="00484CF9">
        <w:rPr>
          <w:rFonts w:asciiTheme="minorHAnsi" w:hAnsiTheme="minorHAnsi" w:cstheme="minorHAnsi"/>
          <w:sz w:val="20"/>
        </w:rPr>
        <w:t>.000,- Kč za každý i započatý den prodlení.</w:t>
      </w:r>
    </w:p>
    <w:p w14:paraId="73D55D71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V případě, že Úřad pro ochranu hospodářské soutěže (dále jen „ÚOHS“) zjistí během zadávacího řízení realizovaného na základě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 xml:space="preserve">S pochybení zadavatele v důsledku chybně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484CF9" w:rsidRDefault="00352096" w:rsidP="00352096">
      <w:pPr>
        <w:pStyle w:val="slolnkuSmlouvy"/>
        <w:spacing w:before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</w:t>
      </w:r>
      <w:r w:rsidR="00F57792" w:rsidRPr="00484CF9">
        <w:rPr>
          <w:rFonts w:asciiTheme="minorHAnsi" w:hAnsiTheme="minorHAnsi" w:cstheme="minorHAnsi"/>
          <w:sz w:val="20"/>
        </w:rPr>
        <w:t>lánek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235703" w:rsidRPr="00484CF9">
        <w:rPr>
          <w:rFonts w:asciiTheme="minorHAnsi" w:hAnsiTheme="minorHAnsi" w:cstheme="minorHAnsi"/>
          <w:sz w:val="20"/>
        </w:rPr>
        <w:t>XII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Závěrečná ujednání</w:t>
      </w:r>
    </w:p>
    <w:p w14:paraId="73D55D75" w14:textId="77777777" w:rsidR="00A24E42" w:rsidRPr="00721FAC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721FAC">
        <w:rPr>
          <w:rFonts w:asciiTheme="minorHAnsi" w:hAnsiTheme="minorHAnsi" w:cstheme="minorHAnsi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neprovedení díla ve sjednané  době plnění,</w:t>
      </w:r>
    </w:p>
    <w:p w14:paraId="73D55D78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484CF9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0CCC6842" w14:textId="77777777" w:rsidR="00641FE2" w:rsidRPr="00641FE2" w:rsidRDefault="00A24E42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  <w:r w:rsidR="00956686" w:rsidRPr="00641F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2EC2C7" w14:textId="0DCADBD8" w:rsidR="00453CB1" w:rsidRPr="00CA79FD" w:rsidRDefault="00956686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641FE2">
        <w:rPr>
          <w:rFonts w:asciiTheme="minorHAnsi" w:hAnsiTheme="minorHAnsi" w:cstheme="minorHAnsi"/>
          <w:sz w:val="20"/>
          <w:szCs w:val="20"/>
        </w:rPr>
        <w:t xml:space="preserve">V případě, že se objednateli nepodaří zajistit potřebné finanční prostředky na realizaci </w:t>
      </w:r>
      <w:r w:rsidR="00721FAC" w:rsidRPr="00641FE2">
        <w:rPr>
          <w:rFonts w:asciiTheme="minorHAnsi" w:hAnsiTheme="minorHAnsi" w:cstheme="minorHAnsi"/>
          <w:sz w:val="20"/>
          <w:szCs w:val="20"/>
        </w:rPr>
        <w:t xml:space="preserve">stavby </w:t>
      </w:r>
      <w:r w:rsidR="005F7C8C" w:rsidRPr="00641FE2">
        <w:rPr>
          <w:rFonts w:asciiTheme="minorHAnsi" w:hAnsiTheme="minorHAnsi" w:cstheme="minorHAnsi"/>
          <w:sz w:val="20"/>
          <w:szCs w:val="20"/>
        </w:rPr>
        <w:t>projektu „</w:t>
      </w:r>
      <w:r w:rsidR="005E24CA">
        <w:rPr>
          <w:rFonts w:asciiTheme="minorHAnsi" w:hAnsiTheme="minorHAnsi" w:cstheme="minorHAnsi"/>
          <w:sz w:val="20"/>
          <w:szCs w:val="20"/>
        </w:rPr>
        <w:t>Sportovní areál – Odry, kluziště</w:t>
      </w:r>
      <w:r w:rsidR="005F7C8C" w:rsidRPr="00641FE2">
        <w:rPr>
          <w:rFonts w:asciiTheme="minorHAnsi" w:hAnsiTheme="minorHAnsi" w:cstheme="minorHAnsi"/>
          <w:sz w:val="20"/>
          <w:szCs w:val="20"/>
        </w:rPr>
        <w:t>“</w:t>
      </w:r>
      <w:r w:rsidR="00A24E42" w:rsidRPr="00641FE2">
        <w:rPr>
          <w:rFonts w:asciiTheme="minorHAnsi" w:hAnsiTheme="minorHAnsi" w:cstheme="minorHAnsi"/>
          <w:sz w:val="20"/>
          <w:szCs w:val="20"/>
        </w:rPr>
        <w:t xml:space="preserve"> </w:t>
      </w:r>
      <w:r w:rsidRPr="00641FE2">
        <w:rPr>
          <w:rFonts w:asciiTheme="minorHAnsi" w:hAnsiTheme="minorHAnsi" w:cstheme="minorHAnsi"/>
          <w:sz w:val="20"/>
          <w:szCs w:val="20"/>
        </w:rPr>
        <w:t xml:space="preserve">budou z plnění této smlouvy vyjmuty práce a činnosti autorského dozoru zhotovitele, jak jsou uvedeny v článku </w:t>
      </w:r>
      <w:r w:rsidR="00453CB1" w:rsidRPr="00641FE2">
        <w:rPr>
          <w:rFonts w:asciiTheme="minorHAnsi" w:hAnsiTheme="minorHAnsi" w:cstheme="minorHAnsi"/>
          <w:sz w:val="20"/>
          <w:szCs w:val="20"/>
        </w:rPr>
        <w:t xml:space="preserve">III. </w:t>
      </w:r>
      <w:r w:rsidR="005E24CA">
        <w:rPr>
          <w:rFonts w:asciiTheme="minorHAnsi" w:hAnsiTheme="minorHAnsi" w:cstheme="minorHAnsi"/>
          <w:sz w:val="20"/>
          <w:szCs w:val="20"/>
        </w:rPr>
        <w:t>o</w:t>
      </w:r>
      <w:r w:rsidR="00453CB1" w:rsidRPr="00641FE2">
        <w:rPr>
          <w:rFonts w:asciiTheme="minorHAnsi" w:hAnsiTheme="minorHAnsi" w:cstheme="minorHAnsi"/>
          <w:sz w:val="20"/>
          <w:szCs w:val="20"/>
        </w:rPr>
        <w:t xml:space="preserve">dst. 2 písm. d) </w:t>
      </w:r>
      <w:r w:rsidRPr="00641FE2">
        <w:rPr>
          <w:rFonts w:asciiTheme="minorHAnsi" w:hAnsiTheme="minorHAnsi" w:cstheme="minorHAnsi"/>
          <w:sz w:val="20"/>
          <w:szCs w:val="20"/>
        </w:rPr>
        <w:t xml:space="preserve">této smlouvy a současně bude celková cena díla snížena o cenu těchto prací a činností uvedenou v příloze č. </w:t>
      </w:r>
      <w:r w:rsidR="00453CB1" w:rsidRPr="00641FE2">
        <w:rPr>
          <w:rFonts w:asciiTheme="minorHAnsi" w:hAnsiTheme="minorHAnsi" w:cstheme="minorHAnsi"/>
          <w:sz w:val="20"/>
          <w:szCs w:val="20"/>
        </w:rPr>
        <w:t>1</w:t>
      </w:r>
      <w:r w:rsidRPr="00641FE2">
        <w:rPr>
          <w:rFonts w:asciiTheme="minorHAnsi" w:hAnsiTheme="minorHAnsi" w:cstheme="minorHAnsi"/>
          <w:sz w:val="20"/>
          <w:szCs w:val="20"/>
        </w:rPr>
        <w:t xml:space="preserve"> této smlouvy – </w:t>
      </w:r>
      <w:r w:rsidR="00B66D0D">
        <w:rPr>
          <w:rFonts w:asciiTheme="minorHAnsi" w:hAnsiTheme="minorHAnsi" w:cstheme="minorHAnsi"/>
          <w:sz w:val="20"/>
          <w:szCs w:val="20"/>
        </w:rPr>
        <w:t>cenová nabídka</w:t>
      </w:r>
      <w:r w:rsidRPr="00641FE2">
        <w:rPr>
          <w:rFonts w:asciiTheme="minorHAnsi" w:hAnsiTheme="minorHAnsi" w:cstheme="minorHAnsi"/>
          <w:sz w:val="20"/>
          <w:szCs w:val="20"/>
        </w:rPr>
        <w:t xml:space="preserve">.  O skutečnosti, že příslušnou dotaci nezískal, je objednatel povinen informovat zhotovitele nejpozději do </w:t>
      </w:r>
      <w:r w:rsidR="00453CB1" w:rsidRPr="00CA79FD">
        <w:rPr>
          <w:rFonts w:asciiTheme="minorHAnsi" w:hAnsiTheme="minorHAnsi" w:cstheme="minorHAnsi"/>
          <w:sz w:val="20"/>
          <w:szCs w:val="20"/>
        </w:rPr>
        <w:t>31.12.20</w:t>
      </w:r>
      <w:r w:rsidR="00CA79FD" w:rsidRPr="00CA79FD">
        <w:rPr>
          <w:rFonts w:asciiTheme="minorHAnsi" w:hAnsiTheme="minorHAnsi" w:cstheme="minorHAnsi"/>
          <w:sz w:val="20"/>
          <w:szCs w:val="20"/>
        </w:rPr>
        <w:t>28</w:t>
      </w:r>
      <w:r w:rsidR="00453CB1" w:rsidRPr="00CA79F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11C8E99" w14:textId="1B441D8F" w:rsidR="00956686" w:rsidRDefault="00956686" w:rsidP="00B14DF5">
      <w:pPr>
        <w:pStyle w:val="Smlouva-slo"/>
        <w:widowControl w:val="0"/>
        <w:numPr>
          <w:ilvl w:val="0"/>
          <w:numId w:val="3"/>
        </w:numPr>
        <w:spacing w:after="120"/>
      </w:pPr>
      <w:r w:rsidRPr="00453CB1">
        <w:rPr>
          <w:rFonts w:asciiTheme="minorHAnsi" w:hAnsiTheme="minorHAnsi" w:cstheme="minorHAnsi"/>
          <w:sz w:val="20"/>
        </w:rPr>
        <w:t>V případě, že o to požádá kterákoliv smluvní strana, bude mezi smluvními stranami uzavřen písemný dodatek k této smlouvě, obsahující podrobné ujednání o postupu podle předchozího odstavce</w:t>
      </w:r>
      <w:r w:rsidR="00453CB1" w:rsidRPr="00453CB1">
        <w:rPr>
          <w:rFonts w:asciiTheme="minorHAnsi" w:hAnsiTheme="minorHAnsi" w:cstheme="minorHAnsi"/>
          <w:sz w:val="20"/>
        </w:rPr>
        <w:t>.</w:t>
      </w:r>
    </w:p>
    <w:p w14:paraId="73D55D7D" w14:textId="7352FE4D" w:rsidR="00A24E42" w:rsidRPr="00B66D0D" w:rsidRDefault="00DC3594" w:rsidP="00CA0CA0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B66D0D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B66D0D">
        <w:rPr>
          <w:rFonts w:asciiTheme="minorHAnsi" w:hAnsiTheme="minorHAnsi" w:cstheme="minorHAnsi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Zhotovitel nemůže bez souhlasu objednatele postoupit svá práva a povinnosti plynoucí ze smlouvy třetí osobě.</w:t>
      </w:r>
    </w:p>
    <w:p w14:paraId="6DCB0993" w14:textId="478C8346" w:rsidR="002D5E9E" w:rsidRPr="00E63854" w:rsidRDefault="00A24E42" w:rsidP="002D5E9E">
      <w:pPr>
        <w:pStyle w:val="Smlouva-slo"/>
        <w:widowControl w:val="0"/>
        <w:numPr>
          <w:ilvl w:val="0"/>
          <w:numId w:val="3"/>
        </w:numPr>
        <w:spacing w:after="120" w:line="240" w:lineRule="auto"/>
        <w:rPr>
          <w:rFonts w:ascii="Calibri" w:hAnsi="Calibri" w:cs="Calibr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nab</w:t>
      </w:r>
      <w:r w:rsidR="00FA683C">
        <w:rPr>
          <w:rFonts w:asciiTheme="minorHAnsi" w:hAnsiTheme="minorHAnsi" w:cstheme="minorHAnsi"/>
          <w:sz w:val="20"/>
          <w:szCs w:val="20"/>
        </w:rPr>
        <w:t xml:space="preserve">ývá platnosti dnem </w:t>
      </w:r>
      <w:r w:rsidR="00FA683C" w:rsidRPr="00FA683C">
        <w:rPr>
          <w:rFonts w:ascii="Calibri" w:hAnsi="Calibri" w:cs="Calibri"/>
          <w:sz w:val="20"/>
          <w:szCs w:val="20"/>
        </w:rPr>
        <w:t>jejího podpisu oběma smluvními stranami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  <w:r w:rsidR="00436336" w:rsidRPr="00436336">
        <w:rPr>
          <w:rFonts w:ascii="Arial" w:hAnsi="Arial" w:cs="Arial"/>
          <w:sz w:val="20"/>
        </w:rPr>
        <w:t xml:space="preserve"> </w:t>
      </w:r>
      <w:r w:rsidR="002D5E9E" w:rsidRPr="00E63854">
        <w:rPr>
          <w:rFonts w:ascii="Calibri" w:hAnsi="Calibri" w:cs="Calibri"/>
          <w:sz w:val="20"/>
        </w:rPr>
        <w:t xml:space="preserve">Tato smlouva podléhá povinnému uveřejnění v registru smluv podle zákona č. 340/2015 Sb., o zvláštních podmínkách účinnosti některých smluv, uveřejňování těchto smluv a o registru smluv (zákon o registru smluv), a nabude účinnosti nejdříve okamžikem takového uveřejnění. </w:t>
      </w:r>
    </w:p>
    <w:p w14:paraId="73D55D80" w14:textId="071CB738" w:rsidR="00A24E42" w:rsidRPr="00484CF9" w:rsidRDefault="00A24E42" w:rsidP="002D5E9E">
      <w:pPr>
        <w:pStyle w:val="Smlouva-slo"/>
        <w:widowControl w:val="0"/>
        <w:numPr>
          <w:ilvl w:val="0"/>
          <w:numId w:val="3"/>
        </w:numPr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484CF9">
        <w:rPr>
          <w:rFonts w:asciiTheme="minorHAnsi" w:hAnsiTheme="minorHAnsi" w:cstheme="minorHAnsi"/>
          <w:sz w:val="20"/>
          <w:szCs w:val="20"/>
        </w:rPr>
        <w:t>obě strany obdrží po dvou vyhotoveních</w:t>
      </w:r>
      <w:r w:rsidR="002D5E9E">
        <w:rPr>
          <w:rFonts w:asciiTheme="minorHAnsi" w:hAnsiTheme="minorHAnsi" w:cstheme="minorHAnsi"/>
          <w:sz w:val="20"/>
          <w:szCs w:val="20"/>
        </w:rPr>
        <w:t>.</w:t>
      </w:r>
      <w:r w:rsidR="002D5E9E" w:rsidRPr="002D5E9E">
        <w:rPr>
          <w:rFonts w:ascii="Calibri" w:hAnsi="Calibri" w:cs="Calibri"/>
          <w:sz w:val="20"/>
        </w:rPr>
        <w:t xml:space="preserve"> </w:t>
      </w:r>
      <w:r w:rsidR="002D5E9E" w:rsidRPr="00F352E9">
        <w:rPr>
          <w:rFonts w:ascii="Calibri" w:hAnsi="Calibri" w:cs="Calibri"/>
          <w:sz w:val="20"/>
        </w:rPr>
        <w:t>Toto neplatí, pokud bude smlouva uzavřena elektronicky za předpokladu, že oprávnění zástupci smluvních stran jej podepíší uznávaným elektronickým podpisem.</w:t>
      </w:r>
    </w:p>
    <w:p w14:paraId="73D55D81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0A6C2F" w:rsidRDefault="002C0FA7" w:rsidP="00B8785B">
      <w:pPr>
        <w:numPr>
          <w:ilvl w:val="0"/>
          <w:numId w:val="3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0A6C2F">
        <w:rPr>
          <w:rFonts w:asciiTheme="minorHAnsi" w:hAnsiTheme="minorHAnsi" w:cstheme="minorHAnsi"/>
          <w:sz w:val="20"/>
          <w:szCs w:val="20"/>
        </w:rPr>
        <w:lastRenderedPageBreak/>
        <w:t>Dle § 2 e) zákona č. 320/2001 Sb., o finanční kontrole ve veřejné správě je zhotovitel osobou povinnou spolupůsobit při výkonu finanční kontroly.</w:t>
      </w:r>
    </w:p>
    <w:p w14:paraId="73D55D83" w14:textId="43F5C156" w:rsidR="00FA683C" w:rsidRPr="008277EB" w:rsidRDefault="00FA683C" w:rsidP="00B8785B">
      <w:pPr>
        <w:keepLines/>
        <w:numPr>
          <w:ilvl w:val="0"/>
          <w:numId w:val="3"/>
        </w:numPr>
        <w:suppressAutoHyphens/>
        <w:spacing w:before="12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 xml:space="preserve">Zhotovitel je povinen uchovávat veškerou dokumentaci související s realizací Projektu včetně účetních dokladů minimálně do </w:t>
      </w:r>
      <w:r w:rsidRPr="005967D4">
        <w:rPr>
          <w:rFonts w:ascii="Calibri" w:hAnsi="Calibri" w:cs="Arial"/>
          <w:sz w:val="20"/>
          <w:szCs w:val="20"/>
        </w:rPr>
        <w:t>konce roku 20</w:t>
      </w:r>
      <w:r w:rsidR="00B933C5" w:rsidRPr="005967D4">
        <w:rPr>
          <w:rFonts w:ascii="Calibri" w:hAnsi="Calibri" w:cs="Arial"/>
          <w:sz w:val="20"/>
          <w:szCs w:val="20"/>
        </w:rPr>
        <w:t>3</w:t>
      </w:r>
      <w:r w:rsidR="002D5E9E">
        <w:rPr>
          <w:rFonts w:ascii="Calibri" w:hAnsi="Calibri" w:cs="Arial"/>
          <w:sz w:val="20"/>
          <w:szCs w:val="20"/>
        </w:rPr>
        <w:t>3</w:t>
      </w:r>
      <w:r w:rsidRPr="005967D4">
        <w:rPr>
          <w:rFonts w:ascii="Calibri" w:hAnsi="Calibri" w:cs="Arial"/>
          <w:sz w:val="20"/>
          <w:szCs w:val="20"/>
        </w:rPr>
        <w:t>. Pokud je v českých</w:t>
      </w:r>
      <w:r w:rsidRPr="008277EB">
        <w:rPr>
          <w:rFonts w:ascii="Calibri" w:hAnsi="Calibri" w:cs="Arial"/>
          <w:sz w:val="20"/>
          <w:szCs w:val="20"/>
        </w:rPr>
        <w:t xml:space="preserve"> právních předpisech stanovena lhůta delší, musí ji zhotovitel použít.</w:t>
      </w:r>
    </w:p>
    <w:p w14:paraId="73D55D84" w14:textId="250E197A" w:rsidR="00FA683C" w:rsidRPr="008277EB" w:rsidRDefault="00FA683C" w:rsidP="002D5E9E">
      <w:pPr>
        <w:keepLines/>
        <w:numPr>
          <w:ilvl w:val="0"/>
          <w:numId w:val="3"/>
        </w:numPr>
        <w:suppressAutoHyphens/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>Zhotovitel je povinen minimálně do konce roku 20</w:t>
      </w:r>
      <w:r w:rsidR="00B933C5" w:rsidRPr="008277EB">
        <w:rPr>
          <w:rFonts w:ascii="Calibri" w:hAnsi="Calibri" w:cs="Arial"/>
          <w:sz w:val="20"/>
          <w:szCs w:val="20"/>
        </w:rPr>
        <w:t>3</w:t>
      </w:r>
      <w:r w:rsidR="002D5E9E">
        <w:rPr>
          <w:rFonts w:ascii="Calibri" w:hAnsi="Calibri" w:cs="Arial"/>
          <w:sz w:val="20"/>
          <w:szCs w:val="20"/>
        </w:rPr>
        <w:t>3</w:t>
      </w:r>
      <w:r w:rsidRPr="008277EB">
        <w:rPr>
          <w:rFonts w:ascii="Calibri" w:hAnsi="Calibri" w:cs="Arial"/>
          <w:sz w:val="20"/>
          <w:szCs w:val="20"/>
        </w:rPr>
        <w:t xml:space="preserve"> poskytovat požadované informace a dokumentaci související s realizací Projektu zaměstnancům nebo zmocněncům pověřených orgánů (</w:t>
      </w:r>
      <w:r w:rsidR="002D5E9E">
        <w:rPr>
          <w:rFonts w:ascii="Calibri" w:hAnsi="Calibri" w:cs="Arial"/>
          <w:sz w:val="20"/>
          <w:szCs w:val="20"/>
        </w:rPr>
        <w:t>MŠMT</w:t>
      </w:r>
      <w:r w:rsidR="00721FAC">
        <w:rPr>
          <w:rFonts w:ascii="Calibri" w:hAnsi="Calibri" w:cs="Arial"/>
          <w:sz w:val="20"/>
          <w:szCs w:val="20"/>
        </w:rPr>
        <w:t>, M</w:t>
      </w:r>
      <w:r w:rsidRPr="008277EB">
        <w:rPr>
          <w:rFonts w:ascii="Calibri" w:hAnsi="Calibri" w:cs="Arial"/>
          <w:sz w:val="20"/>
          <w:szCs w:val="20"/>
        </w:rPr>
        <w:t xml:space="preserve">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 poskytnout jim při provádění kontroly součinnost. </w:t>
      </w:r>
    </w:p>
    <w:p w14:paraId="73D55D85" w14:textId="599CC21E" w:rsidR="00A24E42" w:rsidRDefault="00A24E42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FD2D12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Theme="minorHAnsi" w:hAnsiTheme="minorHAnsi" w:cstheme="minorHAnsi"/>
          <w:sz w:val="20"/>
        </w:rPr>
      </w:pPr>
      <w:r w:rsidRPr="00FD2D12">
        <w:rPr>
          <w:rFonts w:asciiTheme="minorHAnsi" w:hAnsiTheme="minorHAnsi" w:cstheme="minorHAnsi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484CF9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Nedílnou součástí smlouvy jsou tyto přílohy: </w:t>
      </w:r>
    </w:p>
    <w:p w14:paraId="73D55D87" w14:textId="77777777" w:rsidR="00352096" w:rsidRPr="00FA683C" w:rsidRDefault="00352096" w:rsidP="00FA683C">
      <w:pPr>
        <w:pStyle w:val="Bezmezer"/>
        <w:rPr>
          <w:sz w:val="20"/>
          <w:szCs w:val="20"/>
        </w:rPr>
      </w:pPr>
      <w:r w:rsidRPr="00FA683C">
        <w:rPr>
          <w:sz w:val="20"/>
          <w:szCs w:val="20"/>
        </w:rPr>
        <w:t>Příloha č. 1 – Cenová nabídka</w:t>
      </w:r>
    </w:p>
    <w:p w14:paraId="73D55D89" w14:textId="77777777" w:rsidR="00FA683C" w:rsidRPr="00484CF9" w:rsidRDefault="00FA683C" w:rsidP="00FA683C">
      <w:pPr>
        <w:pStyle w:val="Bezmez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484CF9" w14:paraId="73D55D91" w14:textId="77777777" w:rsidTr="00F659DF">
        <w:tc>
          <w:tcPr>
            <w:tcW w:w="3544" w:type="dxa"/>
          </w:tcPr>
          <w:p w14:paraId="73D55D8A" w14:textId="00D75E92" w:rsidR="00352096" w:rsidRPr="00484CF9" w:rsidRDefault="00352096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 xml:space="preserve"> Odrách</w:t>
            </w:r>
            <w:r w:rsidR="00FA68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V  </w:t>
            </w:r>
            <w:r w:rsidRPr="00166979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……………..……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  <w:p w14:paraId="73D55D8D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E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F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90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2096" w:rsidRPr="00484CF9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objednatele</w:t>
            </w:r>
          </w:p>
          <w:p w14:paraId="73D55D93" w14:textId="053EB03E" w:rsidR="00FA683C" w:rsidRPr="00FA683C" w:rsidRDefault="00FA683C" w:rsidP="00FA68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 w:rsidRPr="00166979">
              <w:rPr>
                <w:rFonts w:asciiTheme="minorHAnsi" w:hAnsiTheme="minorHAnsi" w:cstheme="minorHAnsi"/>
                <w:b/>
                <w:sz w:val="20"/>
                <w:szCs w:val="20"/>
              </w:rPr>
              <w:t>Ing. Libor Helis</w:t>
            </w:r>
          </w:p>
          <w:p w14:paraId="73D55D94" w14:textId="6C0E85DC" w:rsidR="00FA683C" w:rsidRPr="00FA683C" w:rsidRDefault="00FA683C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r w:rsidR="00166979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>tarosta města</w:t>
            </w:r>
          </w:p>
          <w:p w14:paraId="73D55D95" w14:textId="77777777" w:rsidR="00352096" w:rsidRPr="00484CF9" w:rsidRDefault="00352096" w:rsidP="00B54FD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zhotovitele</w:t>
            </w:r>
          </w:p>
          <w:p w14:paraId="73D55D98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77777777" w:rsidR="00352096" w:rsidRPr="00484CF9" w:rsidRDefault="00B26978" w:rsidP="00B269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97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</w:t>
            </w:r>
            <w:r w:rsidR="00FA683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484CF9" w:rsidRDefault="00A24E42" w:rsidP="00B54FD7">
      <w:pPr>
        <w:rPr>
          <w:rFonts w:asciiTheme="minorHAnsi" w:hAnsiTheme="minorHAnsi" w:cstheme="minorHAnsi"/>
        </w:rPr>
      </w:pPr>
    </w:p>
    <w:sectPr w:rsidR="00A24E42" w:rsidRPr="00484CF9" w:rsidSect="00484C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639DD" w14:textId="77777777" w:rsidR="00573D51" w:rsidRDefault="00573D51" w:rsidP="008119DB">
      <w:r>
        <w:separator/>
      </w:r>
    </w:p>
  </w:endnote>
  <w:endnote w:type="continuationSeparator" w:id="0">
    <w:p w14:paraId="43338BF8" w14:textId="77777777" w:rsidR="00573D51" w:rsidRDefault="00573D51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E6BEC" w14:textId="3217CE0C" w:rsidR="009F36A3" w:rsidRPr="00324791" w:rsidRDefault="009F36A3" w:rsidP="009F36A3">
    <w:pPr>
      <w:pStyle w:val="Zpat"/>
      <w:jc w:val="center"/>
      <w:rPr>
        <w:rFonts w:ascii="Calibri" w:hAnsi="Calibri" w:cs="Calibri"/>
        <w:sz w:val="20"/>
        <w:szCs w:val="20"/>
      </w:rPr>
    </w:pPr>
    <w:r w:rsidRPr="00324791">
      <w:rPr>
        <w:rFonts w:ascii="Calibri" w:hAnsi="Calibri" w:cs="Calibri"/>
        <w:sz w:val="20"/>
        <w:szCs w:val="20"/>
      </w:rPr>
      <w:t>&lt;</w:t>
    </w:r>
    <w:r w:rsidRPr="00324791">
      <w:rPr>
        <w:rFonts w:ascii="Calibri" w:hAnsi="Calibri" w:cs="Calibri"/>
        <w:sz w:val="20"/>
        <w:szCs w:val="20"/>
      </w:rPr>
      <w:fldChar w:fldCharType="begin"/>
    </w:r>
    <w:r w:rsidRPr="00324791">
      <w:rPr>
        <w:rFonts w:ascii="Calibri" w:hAnsi="Calibri" w:cs="Calibri"/>
        <w:sz w:val="20"/>
        <w:szCs w:val="20"/>
      </w:rPr>
      <w:instrText>PAGE   \* MERGEFORMAT</w:instrText>
    </w:r>
    <w:r w:rsidRPr="00324791">
      <w:rPr>
        <w:rFonts w:ascii="Calibri" w:hAnsi="Calibri" w:cs="Calibri"/>
        <w:sz w:val="20"/>
        <w:szCs w:val="20"/>
      </w:rPr>
      <w:fldChar w:fldCharType="separate"/>
    </w:r>
    <w:r w:rsidR="00852513">
      <w:rPr>
        <w:rFonts w:ascii="Calibri" w:hAnsi="Calibri" w:cs="Calibri"/>
        <w:noProof/>
        <w:sz w:val="20"/>
        <w:szCs w:val="20"/>
      </w:rPr>
      <w:t>1</w:t>
    </w:r>
    <w:r w:rsidRPr="00324791">
      <w:rPr>
        <w:rFonts w:ascii="Calibri" w:hAnsi="Calibri" w:cs="Calibri"/>
        <w:sz w:val="20"/>
        <w:szCs w:val="20"/>
      </w:rPr>
      <w:fldChar w:fldCharType="end"/>
    </w:r>
    <w:r w:rsidRPr="00324791">
      <w:rPr>
        <w:rFonts w:ascii="Calibri" w:hAnsi="Calibri" w:cs="Calibri"/>
        <w:sz w:val="20"/>
        <w:szCs w:val="20"/>
      </w:rPr>
      <w:t>&gt;</w:t>
    </w:r>
  </w:p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5DEA1" w14:textId="77777777" w:rsidR="00573D51" w:rsidRDefault="00573D51" w:rsidP="008119DB">
      <w:r>
        <w:separator/>
      </w:r>
    </w:p>
  </w:footnote>
  <w:footnote w:type="continuationSeparator" w:id="0">
    <w:p w14:paraId="09DA5380" w14:textId="77777777" w:rsidR="00573D51" w:rsidRDefault="00573D51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2" w14:textId="6073EF61" w:rsidR="00D238F5" w:rsidRPr="0050650B" w:rsidRDefault="0050650B" w:rsidP="0050650B">
    <w:pPr>
      <w:pStyle w:val="Zhlav"/>
      <w:ind w:right="-864"/>
      <w:jc w:val="right"/>
      <w:rPr>
        <w:rFonts w:ascii="Arial" w:hAnsi="Arial" w:cs="Arial"/>
        <w:sz w:val="18"/>
        <w:szCs w:val="18"/>
      </w:rPr>
    </w:pPr>
    <w:r w:rsidRPr="0050650B">
      <w:rPr>
        <w:rFonts w:ascii="Arial" w:hAnsi="Arial" w:cs="Arial"/>
        <w:sz w:val="18"/>
        <w:szCs w:val="18"/>
      </w:rPr>
      <w:t>Příloha č. 4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FA79B6"/>
    <w:multiLevelType w:val="hybridMultilevel"/>
    <w:tmpl w:val="65980E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4405A7"/>
    <w:multiLevelType w:val="hybridMultilevel"/>
    <w:tmpl w:val="DE01F2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3" w15:restartNumberingAfterBreak="0">
    <w:nsid w:val="0BA61A68"/>
    <w:multiLevelType w:val="hybridMultilevel"/>
    <w:tmpl w:val="890E8996"/>
    <w:lvl w:ilvl="0" w:tplc="DCEA938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91373"/>
    <w:multiLevelType w:val="hybridMultilevel"/>
    <w:tmpl w:val="A2D2E052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6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1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22"/>
  </w:num>
  <w:num w:numId="2">
    <w:abstractNumId w:val="20"/>
    <w:lvlOverride w:ilvl="0">
      <w:startOverride w:val="1"/>
    </w:lvlOverride>
  </w:num>
  <w:num w:numId="3">
    <w:abstractNumId w:val="3"/>
  </w:num>
  <w:num w:numId="4">
    <w:abstractNumId w:val="14"/>
  </w:num>
  <w:num w:numId="5">
    <w:abstractNumId w:val="19"/>
  </w:num>
  <w:num w:numId="6">
    <w:abstractNumId w:val="15"/>
  </w:num>
  <w:num w:numId="7">
    <w:abstractNumId w:val="7"/>
  </w:num>
  <w:num w:numId="8">
    <w:abstractNumId w:val="21"/>
  </w:num>
  <w:num w:numId="9">
    <w:abstractNumId w:val="16"/>
  </w:num>
  <w:num w:numId="10">
    <w:abstractNumId w:val="6"/>
  </w:num>
  <w:num w:numId="11">
    <w:abstractNumId w:val="4"/>
  </w:num>
  <w:num w:numId="12">
    <w:abstractNumId w:val="11"/>
  </w:num>
  <w:num w:numId="13">
    <w:abstractNumId w:val="8"/>
  </w:num>
  <w:num w:numId="14">
    <w:abstractNumId w:val="9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  <w:num w:numId="18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2A"/>
    <w:rsid w:val="00001CC5"/>
    <w:rsid w:val="000070E7"/>
    <w:rsid w:val="00011A4D"/>
    <w:rsid w:val="000142FA"/>
    <w:rsid w:val="000143F9"/>
    <w:rsid w:val="000204F6"/>
    <w:rsid w:val="00030001"/>
    <w:rsid w:val="00035146"/>
    <w:rsid w:val="00040B18"/>
    <w:rsid w:val="000420B8"/>
    <w:rsid w:val="00044340"/>
    <w:rsid w:val="0004614D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3CE"/>
    <w:rsid w:val="00090602"/>
    <w:rsid w:val="00092B71"/>
    <w:rsid w:val="00096177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07A6D"/>
    <w:rsid w:val="001141AF"/>
    <w:rsid w:val="00116841"/>
    <w:rsid w:val="00116B57"/>
    <w:rsid w:val="001257A0"/>
    <w:rsid w:val="0013237C"/>
    <w:rsid w:val="00136310"/>
    <w:rsid w:val="001513E6"/>
    <w:rsid w:val="0015178C"/>
    <w:rsid w:val="0015336A"/>
    <w:rsid w:val="0015602A"/>
    <w:rsid w:val="00165DEA"/>
    <w:rsid w:val="00166979"/>
    <w:rsid w:val="0017282D"/>
    <w:rsid w:val="0017358E"/>
    <w:rsid w:val="00181E5C"/>
    <w:rsid w:val="0018770A"/>
    <w:rsid w:val="00195BD3"/>
    <w:rsid w:val="001A0382"/>
    <w:rsid w:val="001A6CF9"/>
    <w:rsid w:val="001B2C86"/>
    <w:rsid w:val="001B4E7A"/>
    <w:rsid w:val="001B58C9"/>
    <w:rsid w:val="001B5C5B"/>
    <w:rsid w:val="001C07AB"/>
    <w:rsid w:val="001C1890"/>
    <w:rsid w:val="001C35CB"/>
    <w:rsid w:val="001C57DE"/>
    <w:rsid w:val="001C6635"/>
    <w:rsid w:val="001C6ECF"/>
    <w:rsid w:val="001D0859"/>
    <w:rsid w:val="001D40F7"/>
    <w:rsid w:val="001E36E4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41C5D"/>
    <w:rsid w:val="00253A9A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5E9E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42FDE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C00"/>
    <w:rsid w:val="003C7FCE"/>
    <w:rsid w:val="003D3693"/>
    <w:rsid w:val="003D6083"/>
    <w:rsid w:val="003D6578"/>
    <w:rsid w:val="003E3471"/>
    <w:rsid w:val="003E4CB2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0F0D"/>
    <w:rsid w:val="0042183E"/>
    <w:rsid w:val="0042296C"/>
    <w:rsid w:val="004238B2"/>
    <w:rsid w:val="00425701"/>
    <w:rsid w:val="00430316"/>
    <w:rsid w:val="00431330"/>
    <w:rsid w:val="00436336"/>
    <w:rsid w:val="004365B2"/>
    <w:rsid w:val="004405BD"/>
    <w:rsid w:val="0044370F"/>
    <w:rsid w:val="00453CB1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1DDD"/>
    <w:rsid w:val="00497298"/>
    <w:rsid w:val="004A1179"/>
    <w:rsid w:val="004A1697"/>
    <w:rsid w:val="004A1A5E"/>
    <w:rsid w:val="004A2B2C"/>
    <w:rsid w:val="004A40C6"/>
    <w:rsid w:val="004A6CEC"/>
    <w:rsid w:val="004B0710"/>
    <w:rsid w:val="004B215E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0650B"/>
    <w:rsid w:val="00510079"/>
    <w:rsid w:val="00511344"/>
    <w:rsid w:val="0051208A"/>
    <w:rsid w:val="00512A1F"/>
    <w:rsid w:val="005202D3"/>
    <w:rsid w:val="00520638"/>
    <w:rsid w:val="00520938"/>
    <w:rsid w:val="00523A05"/>
    <w:rsid w:val="00525908"/>
    <w:rsid w:val="0053228F"/>
    <w:rsid w:val="00536BC1"/>
    <w:rsid w:val="005430DD"/>
    <w:rsid w:val="00543EDF"/>
    <w:rsid w:val="00547861"/>
    <w:rsid w:val="0056200C"/>
    <w:rsid w:val="00562376"/>
    <w:rsid w:val="00566418"/>
    <w:rsid w:val="00572D10"/>
    <w:rsid w:val="005735EB"/>
    <w:rsid w:val="00573D51"/>
    <w:rsid w:val="00574019"/>
    <w:rsid w:val="005806B6"/>
    <w:rsid w:val="00582E23"/>
    <w:rsid w:val="005833CD"/>
    <w:rsid w:val="00587D2B"/>
    <w:rsid w:val="00590E03"/>
    <w:rsid w:val="0059124C"/>
    <w:rsid w:val="00591DB6"/>
    <w:rsid w:val="005967D4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24CA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2B50"/>
    <w:rsid w:val="006354AB"/>
    <w:rsid w:val="00640D72"/>
    <w:rsid w:val="00641FE2"/>
    <w:rsid w:val="00643CBA"/>
    <w:rsid w:val="00644C82"/>
    <w:rsid w:val="00646790"/>
    <w:rsid w:val="00647912"/>
    <w:rsid w:val="00651453"/>
    <w:rsid w:val="00652292"/>
    <w:rsid w:val="00655323"/>
    <w:rsid w:val="00657E06"/>
    <w:rsid w:val="006645D8"/>
    <w:rsid w:val="006648C7"/>
    <w:rsid w:val="00665300"/>
    <w:rsid w:val="00665819"/>
    <w:rsid w:val="00665F4A"/>
    <w:rsid w:val="00676CEE"/>
    <w:rsid w:val="00683B8E"/>
    <w:rsid w:val="00684219"/>
    <w:rsid w:val="00686A2E"/>
    <w:rsid w:val="0069580C"/>
    <w:rsid w:val="00695F46"/>
    <w:rsid w:val="006A0841"/>
    <w:rsid w:val="006A6162"/>
    <w:rsid w:val="006A76FD"/>
    <w:rsid w:val="006B2D62"/>
    <w:rsid w:val="006C3740"/>
    <w:rsid w:val="006C3987"/>
    <w:rsid w:val="006D622D"/>
    <w:rsid w:val="006E0085"/>
    <w:rsid w:val="006E2293"/>
    <w:rsid w:val="006E2BA8"/>
    <w:rsid w:val="006F7A25"/>
    <w:rsid w:val="00706C65"/>
    <w:rsid w:val="0071177C"/>
    <w:rsid w:val="0071188E"/>
    <w:rsid w:val="00712511"/>
    <w:rsid w:val="00716628"/>
    <w:rsid w:val="00717ECE"/>
    <w:rsid w:val="00721AC7"/>
    <w:rsid w:val="00721FAC"/>
    <w:rsid w:val="00722A7D"/>
    <w:rsid w:val="00725F2D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B92"/>
    <w:rsid w:val="00765288"/>
    <w:rsid w:val="00767AEA"/>
    <w:rsid w:val="00773D72"/>
    <w:rsid w:val="00774D3F"/>
    <w:rsid w:val="00775650"/>
    <w:rsid w:val="00776FE9"/>
    <w:rsid w:val="00781A62"/>
    <w:rsid w:val="00783CCB"/>
    <w:rsid w:val="007855AB"/>
    <w:rsid w:val="00787751"/>
    <w:rsid w:val="007929BF"/>
    <w:rsid w:val="00795636"/>
    <w:rsid w:val="007A4710"/>
    <w:rsid w:val="007A6D04"/>
    <w:rsid w:val="007B2335"/>
    <w:rsid w:val="007B7676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14B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2513"/>
    <w:rsid w:val="00853A97"/>
    <w:rsid w:val="00855F84"/>
    <w:rsid w:val="00856F00"/>
    <w:rsid w:val="0086503B"/>
    <w:rsid w:val="00871AA8"/>
    <w:rsid w:val="00876DAE"/>
    <w:rsid w:val="0088047F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10432"/>
    <w:rsid w:val="00913403"/>
    <w:rsid w:val="00914454"/>
    <w:rsid w:val="00917A35"/>
    <w:rsid w:val="00924065"/>
    <w:rsid w:val="00940A0F"/>
    <w:rsid w:val="009438F4"/>
    <w:rsid w:val="00945CE7"/>
    <w:rsid w:val="00956686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A0866"/>
    <w:rsid w:val="009A390A"/>
    <w:rsid w:val="009A398A"/>
    <w:rsid w:val="009B48DB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2C0E"/>
    <w:rsid w:val="009F36A3"/>
    <w:rsid w:val="009F67E1"/>
    <w:rsid w:val="00A068E7"/>
    <w:rsid w:val="00A14339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2937"/>
    <w:rsid w:val="00A6394A"/>
    <w:rsid w:val="00A639DB"/>
    <w:rsid w:val="00A64D1E"/>
    <w:rsid w:val="00A6516B"/>
    <w:rsid w:val="00A673A6"/>
    <w:rsid w:val="00A67B9A"/>
    <w:rsid w:val="00A72086"/>
    <w:rsid w:val="00A770E6"/>
    <w:rsid w:val="00A81B80"/>
    <w:rsid w:val="00A81EF2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3A88"/>
    <w:rsid w:val="00AD5975"/>
    <w:rsid w:val="00AD5D5F"/>
    <w:rsid w:val="00AD6CF4"/>
    <w:rsid w:val="00AD709D"/>
    <w:rsid w:val="00AE3826"/>
    <w:rsid w:val="00AF660E"/>
    <w:rsid w:val="00B0047C"/>
    <w:rsid w:val="00B076A8"/>
    <w:rsid w:val="00B12A85"/>
    <w:rsid w:val="00B14B97"/>
    <w:rsid w:val="00B15476"/>
    <w:rsid w:val="00B22B3D"/>
    <w:rsid w:val="00B26978"/>
    <w:rsid w:val="00B35655"/>
    <w:rsid w:val="00B4371E"/>
    <w:rsid w:val="00B45202"/>
    <w:rsid w:val="00B5022E"/>
    <w:rsid w:val="00B5257C"/>
    <w:rsid w:val="00B53EC5"/>
    <w:rsid w:val="00B54FD7"/>
    <w:rsid w:val="00B60290"/>
    <w:rsid w:val="00B61745"/>
    <w:rsid w:val="00B66D0D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30C55"/>
    <w:rsid w:val="00C40BEA"/>
    <w:rsid w:val="00C4220E"/>
    <w:rsid w:val="00C427D7"/>
    <w:rsid w:val="00C4337C"/>
    <w:rsid w:val="00C47E56"/>
    <w:rsid w:val="00C5078F"/>
    <w:rsid w:val="00C54D9F"/>
    <w:rsid w:val="00C647EE"/>
    <w:rsid w:val="00C64DC4"/>
    <w:rsid w:val="00C73CDC"/>
    <w:rsid w:val="00C80B57"/>
    <w:rsid w:val="00C8633A"/>
    <w:rsid w:val="00C92D64"/>
    <w:rsid w:val="00C9318C"/>
    <w:rsid w:val="00C9532F"/>
    <w:rsid w:val="00C96DCD"/>
    <w:rsid w:val="00CA1BA1"/>
    <w:rsid w:val="00CA33D6"/>
    <w:rsid w:val="00CA379A"/>
    <w:rsid w:val="00CA5BFB"/>
    <w:rsid w:val="00CA79FD"/>
    <w:rsid w:val="00CB47C1"/>
    <w:rsid w:val="00CB4F09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2018"/>
    <w:rsid w:val="00D238F5"/>
    <w:rsid w:val="00D24026"/>
    <w:rsid w:val="00D24FD0"/>
    <w:rsid w:val="00D27E5A"/>
    <w:rsid w:val="00D31B7F"/>
    <w:rsid w:val="00D33FB1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D66"/>
    <w:rsid w:val="00D85D2C"/>
    <w:rsid w:val="00D85F9F"/>
    <w:rsid w:val="00D86752"/>
    <w:rsid w:val="00D90C54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6B67"/>
    <w:rsid w:val="00DC7166"/>
    <w:rsid w:val="00DD3011"/>
    <w:rsid w:val="00DD48FF"/>
    <w:rsid w:val="00DE4EAE"/>
    <w:rsid w:val="00DE5050"/>
    <w:rsid w:val="00DE643E"/>
    <w:rsid w:val="00DF2C07"/>
    <w:rsid w:val="00DF3FF9"/>
    <w:rsid w:val="00DF7BFC"/>
    <w:rsid w:val="00E015D9"/>
    <w:rsid w:val="00E0475C"/>
    <w:rsid w:val="00E11E4B"/>
    <w:rsid w:val="00E16AEA"/>
    <w:rsid w:val="00E16CE9"/>
    <w:rsid w:val="00E221B3"/>
    <w:rsid w:val="00E263A6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F0DBF"/>
    <w:rsid w:val="00EF1580"/>
    <w:rsid w:val="00EF1670"/>
    <w:rsid w:val="00F00AFC"/>
    <w:rsid w:val="00F07089"/>
    <w:rsid w:val="00F128AE"/>
    <w:rsid w:val="00F20390"/>
    <w:rsid w:val="00F2145A"/>
    <w:rsid w:val="00F25CD7"/>
    <w:rsid w:val="00F34575"/>
    <w:rsid w:val="00F3596F"/>
    <w:rsid w:val="00F4126E"/>
    <w:rsid w:val="00F5329C"/>
    <w:rsid w:val="00F538BF"/>
    <w:rsid w:val="00F54572"/>
    <w:rsid w:val="00F57792"/>
    <w:rsid w:val="00F62315"/>
    <w:rsid w:val="00F6288C"/>
    <w:rsid w:val="00F657EE"/>
    <w:rsid w:val="00F75B56"/>
    <w:rsid w:val="00F87506"/>
    <w:rsid w:val="00F965C8"/>
    <w:rsid w:val="00FA2244"/>
    <w:rsid w:val="00FA27F6"/>
    <w:rsid w:val="00FA5D24"/>
    <w:rsid w:val="00FA683C"/>
    <w:rsid w:val="00FA7BCB"/>
    <w:rsid w:val="00FB00FA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05AC"/>
    <w:rsid w:val="00FF1BDB"/>
    <w:rsid w:val="00FF40B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4441</Words>
  <Characters>26202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/>
  <cp:lastModifiedBy>Kamila Ambrožová</cp:lastModifiedBy>
  <cp:revision>168</cp:revision>
  <cp:lastPrinted>2023-08-10T08:42:00Z</cp:lastPrinted>
  <dcterms:created xsi:type="dcterms:W3CDTF">2018-04-15T07:35:00Z</dcterms:created>
  <dcterms:modified xsi:type="dcterms:W3CDTF">2023-08-10T08:43:00Z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